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10CB2" w14:textId="1470E806" w:rsidR="000F5B74" w:rsidRDefault="000F5B74" w:rsidP="000F5B74">
      <w:pPr>
        <w:rPr>
          <w:rFonts w:ascii="Calibri" w:eastAsia="Calibri" w:hAnsi="Calibri" w:cs="Calibri"/>
          <w:sz w:val="20"/>
          <w:szCs w:val="20"/>
        </w:rPr>
      </w:pPr>
    </w:p>
    <w:p w14:paraId="12761380" w14:textId="1954EF1F" w:rsidR="000F5B74" w:rsidRPr="000F5B74" w:rsidRDefault="00ED42AB" w:rsidP="000F5B74">
      <w:pPr>
        <w:rPr>
          <w:rFonts w:ascii="Calibri" w:eastAsia="Calibri" w:hAnsi="Calibri" w:cs="Calibri"/>
          <w:sz w:val="20"/>
          <w:szCs w:val="20"/>
          <w:lang w:val="es-MX"/>
        </w:rPr>
      </w:pPr>
      <w:r w:rsidRPr="000F5B74">
        <w:rPr>
          <w:rFonts w:ascii="Calibri" w:eastAsia="Calibri" w:hAnsi="Calibri" w:cs="Calibri"/>
          <w:noProof/>
          <w:sz w:val="20"/>
          <w:szCs w:val="20"/>
          <w:lang w:val="es-MX" w:eastAsia="es-MX"/>
        </w:rPr>
        <mc:AlternateContent>
          <mc:Choice Requires="wps">
            <w:drawing>
              <wp:anchor distT="0" distB="0" distL="114300" distR="114300" simplePos="0" relativeHeight="251659264" behindDoc="0" locked="0" layoutInCell="1" allowOverlap="1" wp14:anchorId="0385306C" wp14:editId="6A664151">
                <wp:simplePos x="0" y="0"/>
                <wp:positionH relativeFrom="column">
                  <wp:posOffset>-413385</wp:posOffset>
                </wp:positionH>
                <wp:positionV relativeFrom="paragraph">
                  <wp:posOffset>-3810</wp:posOffset>
                </wp:positionV>
                <wp:extent cx="3105150" cy="752475"/>
                <wp:effectExtent l="0" t="0" r="0" b="9525"/>
                <wp:wrapSquare wrapText="bothSides"/>
                <wp:docPr id="1319430078"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05150" cy="752475"/>
                        </a:xfrm>
                        <a:prstGeom prst="rect">
                          <a:avLst/>
                        </a:prstGeom>
                        <a:noFill/>
                        <a:ln>
                          <a:noFill/>
                        </a:ln>
                        <a:effectLst/>
                      </wps:spPr>
                      <wps:txbx>
                        <w:txbxContent>
                          <w:p w14:paraId="4F95BB27" w14:textId="77777777" w:rsidR="000F5B74" w:rsidRPr="00B62584" w:rsidRDefault="000F5B74" w:rsidP="000F5B74">
                            <w:pPr>
                              <w:spacing w:after="40" w:line="200" w:lineRule="exact"/>
                              <w:rPr>
                                <w:rFonts w:ascii="Geomanist" w:hAnsi="Geomanist"/>
                                <w:b/>
                                <w:bCs/>
                                <w:sz w:val="22"/>
                                <w:szCs w:val="22"/>
                              </w:rPr>
                            </w:pPr>
                            <w:r w:rsidRPr="00B62584">
                              <w:rPr>
                                <w:rFonts w:ascii="Geomanist" w:hAnsi="Geomanist"/>
                                <w:b/>
                                <w:bCs/>
                                <w:sz w:val="22"/>
                                <w:szCs w:val="22"/>
                              </w:rPr>
                              <w:t xml:space="preserve">Dirección de Prestaciones Médicas </w:t>
                            </w:r>
                          </w:p>
                          <w:p w14:paraId="3E39A7FA" w14:textId="77777777" w:rsidR="000F5B74" w:rsidRPr="00B62584" w:rsidRDefault="000F5B74" w:rsidP="000F5B74">
                            <w:pPr>
                              <w:spacing w:after="40" w:line="200" w:lineRule="exact"/>
                              <w:rPr>
                                <w:rFonts w:ascii="Geomanist" w:hAnsi="Geomanist"/>
                                <w:sz w:val="22"/>
                                <w:szCs w:val="22"/>
                              </w:rPr>
                            </w:pPr>
                            <w:r w:rsidRPr="00B62584">
                              <w:rPr>
                                <w:rFonts w:ascii="Geomanist" w:hAnsi="Geomanist"/>
                                <w:sz w:val="22"/>
                                <w:szCs w:val="22"/>
                              </w:rPr>
                              <w:t>Unidad de Educación e Investigación</w:t>
                            </w:r>
                          </w:p>
                          <w:p w14:paraId="44EDEF5F" w14:textId="77777777" w:rsidR="000F5B74" w:rsidRPr="00B62584" w:rsidRDefault="000F5B74" w:rsidP="000F5B74">
                            <w:pPr>
                              <w:spacing w:after="40" w:line="200" w:lineRule="exact"/>
                              <w:rPr>
                                <w:rFonts w:ascii="Geomanist" w:hAnsi="Geomanist"/>
                                <w:sz w:val="22"/>
                                <w:szCs w:val="22"/>
                              </w:rPr>
                            </w:pPr>
                            <w:r w:rsidRPr="00B62584">
                              <w:rPr>
                                <w:rFonts w:ascii="Geomanist" w:hAnsi="Geomanist"/>
                                <w:sz w:val="22"/>
                                <w:szCs w:val="22"/>
                              </w:rPr>
                              <w:t xml:space="preserve">Coordinación de Investigación en Salud </w:t>
                            </w:r>
                          </w:p>
                          <w:p w14:paraId="7704E946" w14:textId="76098F54" w:rsidR="000F5B74" w:rsidRDefault="000F5B74" w:rsidP="000F5B74">
                            <w:pPr>
                              <w:spacing w:after="40" w:line="200" w:lineRule="exact"/>
                              <w:rPr>
                                <w:rFonts w:ascii="Geomanist" w:hAnsi="Geomanist"/>
                                <w:sz w:val="22"/>
                                <w:szCs w:val="22"/>
                              </w:rPr>
                            </w:pPr>
                            <w:r w:rsidRPr="00B62584">
                              <w:rPr>
                                <w:rFonts w:ascii="Geomanist" w:hAnsi="Geomanist"/>
                                <w:sz w:val="22"/>
                                <w:szCs w:val="22"/>
                              </w:rPr>
                              <w:t xml:space="preserve">División </w:t>
                            </w:r>
                            <w:r w:rsidR="00ED42AB">
                              <w:rPr>
                                <w:rFonts w:ascii="Geomanist" w:hAnsi="Geomanist"/>
                                <w:sz w:val="22"/>
                                <w:szCs w:val="22"/>
                              </w:rPr>
                              <w:t>de Desarrollo de la Investigación en Salud</w:t>
                            </w:r>
                          </w:p>
                          <w:p w14:paraId="66EF0F3A" w14:textId="7C2812E3" w:rsidR="00ED42AB" w:rsidRPr="00B62584" w:rsidRDefault="00ED42AB" w:rsidP="000F5B74">
                            <w:pPr>
                              <w:spacing w:after="40" w:line="200" w:lineRule="exact"/>
                              <w:rPr>
                                <w:sz w:val="22"/>
                                <w:szCs w:val="22"/>
                              </w:rPr>
                            </w:pPr>
                            <w:r>
                              <w:rPr>
                                <w:rFonts w:ascii="Geomanist" w:hAnsi="Geomanist"/>
                                <w:sz w:val="22"/>
                                <w:szCs w:val="22"/>
                              </w:rPr>
                              <w:t>Bioterio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7" o:spid="_x0000_s1026" type="#_x0000_t202" style="position:absolute;margin-left:-32.55pt;margin-top:-.3pt;width:244.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" filled="f" stroked="f">
                <v:path arrowok="t"/>
                <v:textbox inset="0,0,0,0">
                  <w:txbxContent>
                    <w:p w14:paraId="4F95BB27" w14:textId="77777777" w:rsidR="000F5B74" w:rsidRPr="00B62584" w:rsidRDefault="000F5B74" w:rsidP="000F5B74">
                      <w:pPr>
                        <w:spacing w:after="40" w:line="200" w:lineRule="exact"/>
                        <w:rPr>
                          <w:rFonts w:ascii="Geomanist" w:hAnsi="Geomanist"/>
                          <w:b/>
                          <w:bCs/>
                          <w:sz w:val="22"/>
                          <w:szCs w:val="22"/>
                        </w:rPr>
                      </w:pPr>
                      <w:r w:rsidRPr="00B62584">
                        <w:rPr>
                          <w:rFonts w:ascii="Geomanist" w:hAnsi="Geomanist"/>
                          <w:b/>
                          <w:bCs/>
                          <w:sz w:val="22"/>
                          <w:szCs w:val="22"/>
                        </w:rPr>
                        <w:t xml:space="preserve">Dirección de Prestaciones Médicas </w:t>
                      </w:r>
                    </w:p>
                    <w:p w14:paraId="3E39A7FA" w14:textId="77777777" w:rsidR="000F5B74" w:rsidRPr="00B62584" w:rsidRDefault="000F5B74" w:rsidP="000F5B74">
                      <w:pPr>
                        <w:spacing w:after="40" w:line="200" w:lineRule="exact"/>
                        <w:rPr>
                          <w:rFonts w:ascii="Geomanist" w:hAnsi="Geomanist"/>
                          <w:sz w:val="22"/>
                          <w:szCs w:val="22"/>
                        </w:rPr>
                      </w:pPr>
                      <w:r w:rsidRPr="00B62584">
                        <w:rPr>
                          <w:rFonts w:ascii="Geomanist" w:hAnsi="Geomanist"/>
                          <w:sz w:val="22"/>
                          <w:szCs w:val="22"/>
                        </w:rPr>
                        <w:t>Unidad de Educación e Investigación</w:t>
                      </w:r>
                    </w:p>
                    <w:p w14:paraId="44EDEF5F" w14:textId="77777777" w:rsidR="000F5B74" w:rsidRPr="00B62584" w:rsidRDefault="000F5B74" w:rsidP="000F5B74">
                      <w:pPr>
                        <w:spacing w:after="40" w:line="200" w:lineRule="exact"/>
                        <w:rPr>
                          <w:rFonts w:ascii="Geomanist" w:hAnsi="Geomanist"/>
                          <w:sz w:val="22"/>
                          <w:szCs w:val="22"/>
                        </w:rPr>
                      </w:pPr>
                      <w:r w:rsidRPr="00B62584">
                        <w:rPr>
                          <w:rFonts w:ascii="Geomanist" w:hAnsi="Geomanist"/>
                          <w:sz w:val="22"/>
                          <w:szCs w:val="22"/>
                        </w:rPr>
                        <w:t xml:space="preserve">Coordinación de Investigación en Salud </w:t>
                      </w:r>
                    </w:p>
                    <w:p w14:paraId="7704E946" w14:textId="76098F54" w:rsidR="000F5B74" w:rsidRDefault="000F5B74" w:rsidP="000F5B74">
                      <w:pPr>
                        <w:spacing w:after="40" w:line="200" w:lineRule="exact"/>
                        <w:rPr>
                          <w:rFonts w:ascii="Geomanist" w:hAnsi="Geomanist"/>
                          <w:sz w:val="22"/>
                          <w:szCs w:val="22"/>
                        </w:rPr>
                      </w:pPr>
                      <w:r w:rsidRPr="00B62584">
                        <w:rPr>
                          <w:rFonts w:ascii="Geomanist" w:hAnsi="Geomanist"/>
                          <w:sz w:val="22"/>
                          <w:szCs w:val="22"/>
                        </w:rPr>
                        <w:t xml:space="preserve">División </w:t>
                      </w:r>
                      <w:r w:rsidR="00ED42AB">
                        <w:rPr>
                          <w:rFonts w:ascii="Geomanist" w:hAnsi="Geomanist"/>
                          <w:sz w:val="22"/>
                          <w:szCs w:val="22"/>
                        </w:rPr>
                        <w:t>de Desarrollo de la Investigación en Salud</w:t>
                      </w:r>
                    </w:p>
                    <w:p w14:paraId="66EF0F3A" w14:textId="7C2812E3" w:rsidR="00ED42AB" w:rsidRPr="00B62584" w:rsidRDefault="00ED42AB" w:rsidP="000F5B74">
                      <w:pPr>
                        <w:spacing w:after="40" w:line="200" w:lineRule="exact"/>
                        <w:rPr>
                          <w:sz w:val="22"/>
                          <w:szCs w:val="22"/>
                        </w:rPr>
                      </w:pPr>
                      <w:r>
                        <w:rPr>
                          <w:rFonts w:ascii="Geomanist" w:hAnsi="Geomanist"/>
                          <w:sz w:val="22"/>
                          <w:szCs w:val="22"/>
                        </w:rPr>
                        <w:t>Bioterio</w:t>
                      </w:r>
                    </w:p>
                  </w:txbxContent>
                </v:textbox>
                <w10:wrap type="square"/>
              </v:shape>
            </w:pict>
          </mc:Fallback>
        </mc:AlternateContent>
      </w:r>
    </w:p>
    <w:p w14:paraId="56D6CCB9" w14:textId="77777777" w:rsidR="000F5B74" w:rsidRPr="000F5B74" w:rsidRDefault="000F5B74" w:rsidP="000F5B74">
      <w:pPr>
        <w:rPr>
          <w:rFonts w:ascii="Calibri" w:eastAsia="Calibri" w:hAnsi="Calibri" w:cs="Calibri"/>
          <w:b/>
          <w:sz w:val="20"/>
          <w:szCs w:val="20"/>
          <w:lang w:val="es-MX"/>
        </w:rPr>
      </w:pPr>
    </w:p>
    <w:p w14:paraId="0978AA08" w14:textId="77777777" w:rsidR="000F5B74" w:rsidRPr="000F5B74" w:rsidRDefault="000F5B74" w:rsidP="000F5B74">
      <w:pPr>
        <w:rPr>
          <w:rFonts w:ascii="Calibri" w:eastAsia="Calibri" w:hAnsi="Calibri" w:cs="Calibri"/>
          <w:b/>
          <w:sz w:val="20"/>
          <w:szCs w:val="20"/>
          <w:lang w:val="es-MX"/>
        </w:rPr>
      </w:pPr>
    </w:p>
    <w:p w14:paraId="751F99B1" w14:textId="77777777" w:rsidR="000F5B74" w:rsidRPr="000F5B74" w:rsidRDefault="000F5B74" w:rsidP="000F5B74">
      <w:pPr>
        <w:rPr>
          <w:rFonts w:ascii="Calibri" w:eastAsia="Calibri" w:hAnsi="Calibri" w:cs="Calibri"/>
          <w:b/>
          <w:sz w:val="20"/>
          <w:szCs w:val="20"/>
          <w:lang w:val="es-MX"/>
        </w:rPr>
      </w:pPr>
    </w:p>
    <w:p w14:paraId="5858229F" w14:textId="77777777" w:rsidR="000F5B74" w:rsidRDefault="000F5B74" w:rsidP="000F5B74">
      <w:pPr>
        <w:rPr>
          <w:rFonts w:ascii="Calibri" w:eastAsia="Calibri" w:hAnsi="Calibri" w:cs="Calibri"/>
          <w:b/>
          <w:sz w:val="20"/>
          <w:szCs w:val="20"/>
          <w:lang w:val="es-MX"/>
        </w:rPr>
      </w:pPr>
    </w:p>
    <w:p w14:paraId="74736C98" w14:textId="77777777" w:rsidR="00662894" w:rsidRDefault="00662894" w:rsidP="00662894">
      <w:pPr>
        <w:spacing w:line="360" w:lineRule="auto"/>
        <w:jc w:val="both"/>
        <w:rPr>
          <w:rFonts w:ascii="Montserrat" w:hAnsi="Montserrat"/>
          <w:b/>
          <w:bCs/>
          <w:sz w:val="21"/>
          <w:szCs w:val="21"/>
        </w:rPr>
      </w:pPr>
    </w:p>
    <w:p w14:paraId="2C31B11B" w14:textId="77777777" w:rsidR="00BF5904" w:rsidRDefault="00BF5904" w:rsidP="00BF5904">
      <w:pPr>
        <w:jc w:val="both"/>
        <w:rPr>
          <w:rFonts w:ascii="Geomanist" w:hAnsi="Geomanist" w:cs="Arial"/>
          <w:b/>
          <w:sz w:val="22"/>
          <w:szCs w:val="22"/>
        </w:rPr>
      </w:pPr>
      <w:r w:rsidRPr="00BF5904">
        <w:rPr>
          <w:rFonts w:ascii="Geomanist" w:hAnsi="Geomanist" w:cs="Arial"/>
          <w:b/>
          <w:sz w:val="22"/>
          <w:szCs w:val="22"/>
        </w:rPr>
        <w:t>TÉRMINOS Y CONDICIONES PARA LA ADQUISICIÓN DE CAMA SANITARIA PARA ANIMALES DE LABORATORIO ALOJADOS EN EL BIOTERIO, DEPENDIENTE DE LA COORDINACIÓN DE INVESTIGACIÓN EN SALUD, PARA EL EJERCICIO PRESUPUESTAL 2025.</w:t>
      </w:r>
    </w:p>
    <w:p w14:paraId="3AAEB343" w14:textId="77777777" w:rsidR="00D37729" w:rsidRPr="00BF5904" w:rsidRDefault="00D37729" w:rsidP="00BF5904">
      <w:pPr>
        <w:jc w:val="both"/>
        <w:rPr>
          <w:rFonts w:ascii="Geomanist" w:hAnsi="Geomanist" w:cs="Arial"/>
          <w:b/>
          <w:sz w:val="22"/>
          <w:szCs w:val="22"/>
        </w:rPr>
      </w:pPr>
    </w:p>
    <w:p w14:paraId="0964149B" w14:textId="77777777" w:rsidR="00BF5904" w:rsidRPr="00BF5904" w:rsidRDefault="00BF5904" w:rsidP="00BF5904">
      <w:pPr>
        <w:pStyle w:val="Prrafodelista"/>
        <w:numPr>
          <w:ilvl w:val="0"/>
          <w:numId w:val="11"/>
        </w:numPr>
        <w:spacing w:after="0" w:line="240" w:lineRule="auto"/>
        <w:ind w:left="567" w:hanging="567"/>
        <w:jc w:val="both"/>
        <w:rPr>
          <w:rFonts w:ascii="Geomanist" w:hAnsi="Geomanist"/>
          <w:b/>
        </w:rPr>
      </w:pPr>
      <w:r w:rsidRPr="00BF5904">
        <w:rPr>
          <w:rFonts w:ascii="Geomanist" w:hAnsi="Geomanist"/>
          <w:b/>
        </w:rPr>
        <w:t xml:space="preserve">VIGENCIA DE LA CONTRATACIÓN Y EJERCICIO PRESUPUESTAL AL QUE CORRESPONDA. </w:t>
      </w:r>
      <w:r w:rsidRPr="00BF5904">
        <w:rPr>
          <w:rFonts w:ascii="Geomanist" w:hAnsi="Geomanist" w:cs="Arial"/>
        </w:rPr>
        <w:t>La vigencia de (los) contrato (s) será (n) a partir del día hábil siguiente a la notificación de la adjudicación y hasta el 31 de diciembre de 2025</w:t>
      </w:r>
      <w:r w:rsidRPr="00BF5904">
        <w:rPr>
          <w:rFonts w:ascii="Geomanist" w:hAnsi="Geomanist"/>
          <w:color w:val="222222"/>
          <w:shd w:val="clear" w:color="auto" w:fill="FFFFFF"/>
        </w:rPr>
        <w:t>.</w:t>
      </w:r>
    </w:p>
    <w:p w14:paraId="5F772FD6" w14:textId="77777777" w:rsidR="00BF5904" w:rsidRPr="00BF5904" w:rsidRDefault="00BF5904" w:rsidP="00BF5904">
      <w:pPr>
        <w:pStyle w:val="Prrafodelista"/>
        <w:spacing w:after="0" w:line="240" w:lineRule="auto"/>
        <w:ind w:left="567"/>
        <w:jc w:val="both"/>
        <w:rPr>
          <w:rFonts w:ascii="Geomanist" w:hAnsi="Geomanist"/>
          <w:b/>
        </w:rPr>
      </w:pPr>
    </w:p>
    <w:p w14:paraId="7A73010D" w14:textId="77777777" w:rsidR="00BF5904" w:rsidRDefault="00BF5904" w:rsidP="00BF5904">
      <w:pPr>
        <w:ind w:left="567"/>
        <w:jc w:val="both"/>
        <w:rPr>
          <w:rFonts w:ascii="Geomanist" w:eastAsia="Calibri" w:hAnsi="Geomanist"/>
          <w:sz w:val="22"/>
          <w:szCs w:val="22"/>
        </w:rPr>
      </w:pPr>
      <w:r w:rsidRPr="00BF5904">
        <w:rPr>
          <w:rFonts w:ascii="Geomanist" w:eastAsia="Calibri" w:hAnsi="Geomanist"/>
          <w:sz w:val="22"/>
          <w:szCs w:val="22"/>
        </w:rPr>
        <w:t xml:space="preserve">Se trata de un contrato por cantidades previamente determinadas en el inciso a) del documento denominado Anexo Técnico, de conformidad con lo señalado en la fracción II, inciso f) del artículo 39 del Reglamento de la Ley de Adquisiciones, Arrendamientos y Servicios del Sector Público (RLAASSP). </w:t>
      </w:r>
    </w:p>
    <w:p w14:paraId="3B40ED38" w14:textId="77777777" w:rsidR="008B4CD1" w:rsidRPr="00BF5904" w:rsidRDefault="008B4CD1" w:rsidP="00BF5904">
      <w:pPr>
        <w:ind w:left="567"/>
        <w:jc w:val="both"/>
        <w:rPr>
          <w:rFonts w:ascii="Geomanist" w:eastAsia="Calibri" w:hAnsi="Geomanist"/>
          <w:sz w:val="22"/>
          <w:szCs w:val="22"/>
        </w:rPr>
      </w:pPr>
    </w:p>
    <w:p w14:paraId="28FC4789" w14:textId="77777777" w:rsidR="00BF5904" w:rsidRPr="00BF5904" w:rsidRDefault="00BF5904" w:rsidP="00BF5904">
      <w:pPr>
        <w:pStyle w:val="Prrafodelista"/>
        <w:numPr>
          <w:ilvl w:val="0"/>
          <w:numId w:val="11"/>
        </w:numPr>
        <w:spacing w:after="200" w:line="240" w:lineRule="auto"/>
        <w:ind w:left="567" w:hanging="567"/>
        <w:jc w:val="both"/>
        <w:rPr>
          <w:rFonts w:ascii="Geomanist" w:hAnsi="Geomanist"/>
          <w:b/>
        </w:rPr>
      </w:pPr>
      <w:r w:rsidRPr="00BF5904">
        <w:rPr>
          <w:rFonts w:ascii="Geomanist" w:hAnsi="Geomanist" w:cs="Arial"/>
          <w:b/>
        </w:rPr>
        <w:t xml:space="preserve">PLAZO DE ENTREGA DE BIEN, </w:t>
      </w:r>
      <w:r w:rsidRPr="00BF5904">
        <w:rPr>
          <w:rFonts w:ascii="Geomanist" w:eastAsia="Calibri" w:hAnsi="Geomanist"/>
          <w:b/>
        </w:rPr>
        <w:t>ARRENDAMIENTO O SERVICIO, INDICANDO EN SU CASO, EL CALENDARIO CON PROGRAMA Y CONDICIONES DE ENTREGAS QUE CORRESPONDA</w:t>
      </w:r>
      <w:r w:rsidRPr="00BF5904">
        <w:rPr>
          <w:rFonts w:ascii="Geomanist" w:hAnsi="Geomanist" w:cs="Arial"/>
          <w:b/>
        </w:rPr>
        <w:t xml:space="preserve">. </w:t>
      </w:r>
    </w:p>
    <w:p w14:paraId="71511754" w14:textId="14A3675F" w:rsidR="00BF5904" w:rsidRDefault="00BF5904" w:rsidP="00BF5904">
      <w:pPr>
        <w:ind w:left="567"/>
        <w:jc w:val="both"/>
        <w:rPr>
          <w:rFonts w:ascii="Geomanist" w:hAnsi="Geomanist" w:cs="Arial"/>
          <w:sz w:val="22"/>
          <w:szCs w:val="22"/>
          <w:lang w:eastAsia="ar-SA"/>
        </w:rPr>
      </w:pPr>
      <w:r w:rsidRPr="00BF5904">
        <w:rPr>
          <w:rFonts w:ascii="Geomanist" w:hAnsi="Geomanist" w:cs="Arial"/>
          <w:b/>
          <w:sz w:val="22"/>
          <w:szCs w:val="22"/>
        </w:rPr>
        <w:t>Plazo de entrega.</w:t>
      </w:r>
      <w:r w:rsidRPr="00BF5904">
        <w:rPr>
          <w:rFonts w:ascii="Geomanist" w:hAnsi="Geomanist" w:cs="Arial"/>
          <w:sz w:val="22"/>
          <w:szCs w:val="22"/>
        </w:rPr>
        <w:t xml:space="preserve"> Se realizarán entregas quincenales, </w:t>
      </w:r>
      <w:r w:rsidRPr="00BF5904">
        <w:rPr>
          <w:rFonts w:ascii="Geomanist" w:eastAsia="Calibri" w:hAnsi="Geomanist"/>
          <w:sz w:val="22"/>
          <w:szCs w:val="22"/>
        </w:rPr>
        <w:t>los días 15 y 30 de cada mes</w:t>
      </w:r>
      <w:r w:rsidR="00314E55">
        <w:rPr>
          <w:rFonts w:ascii="Geomanist" w:eastAsia="Calibri" w:hAnsi="Geomanist"/>
          <w:sz w:val="22"/>
          <w:szCs w:val="22"/>
        </w:rPr>
        <w:t>, e</w:t>
      </w:r>
      <w:r w:rsidR="00314E55" w:rsidRPr="00314E55">
        <w:rPr>
          <w:rFonts w:ascii="Geomanist" w:eastAsia="Calibri" w:hAnsi="Geomanist"/>
          <w:sz w:val="22"/>
          <w:szCs w:val="22"/>
        </w:rPr>
        <w:t>n caso de que el día 15 o 30 del mes, ocurra  en un día inhábil, la entrega podrá realizarse al  día hábil siguiente de las referidas fechas.</w:t>
      </w:r>
      <w:r w:rsidR="00314E55" w:rsidRPr="00BF5904">
        <w:rPr>
          <w:rFonts w:ascii="Geomanist" w:hAnsi="Geomanist" w:cs="Arial"/>
          <w:sz w:val="22"/>
          <w:szCs w:val="22"/>
        </w:rPr>
        <w:t>, las</w:t>
      </w:r>
      <w:r w:rsidRPr="00BF5904">
        <w:rPr>
          <w:rFonts w:ascii="Geomanist" w:hAnsi="Geomanist" w:cs="Arial"/>
          <w:sz w:val="22"/>
          <w:szCs w:val="22"/>
        </w:rPr>
        <w:t xml:space="preserve"> cantidades se determinarán conforme a la demanda del Bioterio, adscrito a la Coordinación de Investigación en Salud (CIS), las cuales se le notificarán al proveedor con tres días hábiles de anticipación mediante correo electrónico</w:t>
      </w:r>
      <w:r w:rsidRPr="00BF5904">
        <w:rPr>
          <w:rFonts w:ascii="Geomanist" w:hAnsi="Geomanist" w:cs="Arial"/>
          <w:sz w:val="22"/>
          <w:szCs w:val="22"/>
          <w:lang w:eastAsia="ar-SA"/>
        </w:rPr>
        <w:t>, (previamente establecido por el proveedor adjudicado), y esta será la vía de comunicación oficial entre el proveedor adjudicado y el Administrador del Contrato</w:t>
      </w:r>
      <w:r w:rsidR="001B5D72">
        <w:rPr>
          <w:rFonts w:ascii="Geomanist" w:hAnsi="Geomanist" w:cs="Arial"/>
          <w:sz w:val="22"/>
          <w:szCs w:val="22"/>
          <w:lang w:eastAsia="ar-SA"/>
        </w:rPr>
        <w:t>, o quien este designe</w:t>
      </w:r>
      <w:r w:rsidRPr="00BF5904">
        <w:rPr>
          <w:rFonts w:ascii="Geomanist" w:hAnsi="Geomanist" w:cs="Arial"/>
          <w:sz w:val="22"/>
          <w:szCs w:val="22"/>
          <w:lang w:eastAsia="ar-SA"/>
        </w:rPr>
        <w:t>.</w:t>
      </w:r>
    </w:p>
    <w:p w14:paraId="4EF8D312" w14:textId="4A690E33" w:rsidR="00BF5904" w:rsidRDefault="00BF5904" w:rsidP="00BF5904">
      <w:pPr>
        <w:ind w:left="567"/>
        <w:jc w:val="both"/>
        <w:rPr>
          <w:rFonts w:ascii="Geomanist" w:hAnsi="Geomanist" w:cs="Arial"/>
          <w:sz w:val="22"/>
          <w:szCs w:val="22"/>
          <w:lang w:eastAsia="ar-SA"/>
        </w:rPr>
      </w:pPr>
      <w:r w:rsidRPr="00BF5904">
        <w:rPr>
          <w:rFonts w:ascii="Geomanist" w:hAnsi="Geomanist" w:cs="Arial"/>
          <w:sz w:val="22"/>
          <w:szCs w:val="22"/>
          <w:lang w:eastAsia="ar-SA"/>
        </w:rPr>
        <w:t>La primera entrega se podrá solicitar al proveedor adjudicado al tercer día hábil siguiente a la notificación del fallo</w:t>
      </w:r>
      <w:r w:rsidR="00C715F1">
        <w:rPr>
          <w:rFonts w:ascii="Geomanist" w:hAnsi="Geomanist" w:cs="Arial"/>
          <w:sz w:val="22"/>
          <w:szCs w:val="22"/>
          <w:lang w:eastAsia="ar-SA"/>
        </w:rPr>
        <w:t>,</w:t>
      </w:r>
      <w:r w:rsidRPr="00BF5904">
        <w:rPr>
          <w:rFonts w:ascii="Geomanist" w:hAnsi="Geomanist" w:cs="Arial"/>
          <w:sz w:val="22"/>
          <w:szCs w:val="22"/>
          <w:lang w:eastAsia="ar-SA"/>
        </w:rPr>
        <w:t xml:space="preserve"> las subsecuentes entregas se realizarán conforme a lo establecido en el párrafo anterior.</w:t>
      </w:r>
    </w:p>
    <w:p w14:paraId="6BE5F0F5" w14:textId="77777777" w:rsidR="00C715F1" w:rsidRPr="00BF5904" w:rsidRDefault="00C715F1" w:rsidP="00BF5904">
      <w:pPr>
        <w:ind w:left="567"/>
        <w:jc w:val="both"/>
        <w:rPr>
          <w:rFonts w:ascii="Geomanist" w:hAnsi="Geomanist" w:cs="Arial"/>
          <w:b/>
          <w:sz w:val="22"/>
          <w:szCs w:val="22"/>
        </w:rPr>
      </w:pPr>
    </w:p>
    <w:p w14:paraId="3AC6468F" w14:textId="3B529544" w:rsidR="00BF5904" w:rsidRDefault="00BF5904" w:rsidP="00BF5904">
      <w:pPr>
        <w:ind w:left="567"/>
        <w:jc w:val="both"/>
        <w:rPr>
          <w:rFonts w:ascii="Geomanist" w:hAnsi="Geomanist"/>
          <w:sz w:val="22"/>
          <w:szCs w:val="22"/>
        </w:rPr>
      </w:pPr>
      <w:r w:rsidRPr="00BF5904">
        <w:rPr>
          <w:rFonts w:ascii="Geomanist" w:hAnsi="Geomanist"/>
          <w:b/>
          <w:sz w:val="22"/>
          <w:szCs w:val="22"/>
        </w:rPr>
        <w:t xml:space="preserve">Lugar de entrega.  </w:t>
      </w:r>
      <w:r w:rsidRPr="00BF5904">
        <w:rPr>
          <w:rFonts w:ascii="Geomanist" w:hAnsi="Geomanist"/>
          <w:sz w:val="22"/>
          <w:szCs w:val="22"/>
        </w:rPr>
        <w:t>La entrega de los bienes se realizará en el Bioterio, ubicado en el Centro Médico Nacional Siglo XXI, sito en Avenida Cuauhtémoc</w:t>
      </w:r>
      <w:r w:rsidR="00C715F1">
        <w:rPr>
          <w:rFonts w:ascii="Geomanist" w:hAnsi="Geomanist"/>
          <w:sz w:val="22"/>
          <w:szCs w:val="22"/>
        </w:rPr>
        <w:t xml:space="preserve">, número </w:t>
      </w:r>
      <w:r w:rsidRPr="00BF5904">
        <w:rPr>
          <w:rFonts w:ascii="Geomanist" w:hAnsi="Geomanist"/>
          <w:sz w:val="22"/>
          <w:szCs w:val="22"/>
        </w:rPr>
        <w:t xml:space="preserve">330, Colonia Doctores, Alcaldía Cuauhtémoc, C.P. 06720, CDMX, en un horario de 9:00 a 14:00 hrs. de lunes a viernes, previa comunicación con la M. en C. Itzel Isaura Baca Ibarra, Jefa </w:t>
      </w:r>
      <w:r w:rsidRPr="00BF5904">
        <w:rPr>
          <w:rFonts w:ascii="Geomanist" w:eastAsia="Calibri" w:hAnsi="Geomanist"/>
          <w:sz w:val="22"/>
          <w:szCs w:val="22"/>
        </w:rPr>
        <w:t>del Bioterio</w:t>
      </w:r>
      <w:r w:rsidRPr="00BF5904">
        <w:rPr>
          <w:rFonts w:ascii="Geomanist" w:hAnsi="Geomanist"/>
          <w:sz w:val="22"/>
          <w:szCs w:val="22"/>
        </w:rPr>
        <w:t>, a los teléfonos: 57612303 y 56276900 ext. 21865.</w:t>
      </w:r>
    </w:p>
    <w:p w14:paraId="6F59C93B" w14:textId="77777777" w:rsidR="00C715F1" w:rsidRPr="00BF5904" w:rsidRDefault="00C715F1" w:rsidP="00BF5904">
      <w:pPr>
        <w:ind w:left="567"/>
        <w:jc w:val="both"/>
        <w:rPr>
          <w:rFonts w:ascii="Geomanist" w:hAnsi="Geomanist" w:cs="Arial"/>
          <w:b/>
          <w:sz w:val="22"/>
          <w:szCs w:val="22"/>
        </w:rPr>
      </w:pPr>
    </w:p>
    <w:p w14:paraId="638DC0CD" w14:textId="5BC153DE" w:rsidR="00BF5904" w:rsidRPr="00BF5904" w:rsidRDefault="00BF5904" w:rsidP="00BF5904">
      <w:pPr>
        <w:tabs>
          <w:tab w:val="left" w:pos="709"/>
          <w:tab w:val="left" w:pos="4536"/>
        </w:tabs>
        <w:suppressAutoHyphens/>
        <w:ind w:left="567"/>
        <w:jc w:val="both"/>
        <w:rPr>
          <w:rFonts w:ascii="Geomanist" w:eastAsia="Calibri" w:hAnsi="Geomanist"/>
          <w:sz w:val="22"/>
          <w:szCs w:val="22"/>
        </w:rPr>
      </w:pPr>
      <w:r w:rsidRPr="00BF5904">
        <w:rPr>
          <w:rFonts w:ascii="Geomanist" w:hAnsi="Geomanist"/>
          <w:b/>
          <w:sz w:val="22"/>
          <w:szCs w:val="22"/>
        </w:rPr>
        <w:t xml:space="preserve">Condiciones de entrega. </w:t>
      </w:r>
      <w:r w:rsidRPr="00BF5904">
        <w:rPr>
          <w:rFonts w:ascii="Geomanist" w:hAnsi="Geomanist"/>
          <w:sz w:val="22"/>
          <w:szCs w:val="22"/>
        </w:rPr>
        <w:t>Los bienes deberán apegarse estrictamente a la especificación, descripción, presentación y demás características que se indican en el inciso a), del documento denominado Anexo Técnico,</w:t>
      </w:r>
      <w:r w:rsidRPr="00BF5904">
        <w:rPr>
          <w:rFonts w:ascii="Geomanist" w:hAnsi="Geomanist"/>
          <w:b/>
          <w:sz w:val="22"/>
          <w:szCs w:val="22"/>
        </w:rPr>
        <w:t xml:space="preserve"> </w:t>
      </w:r>
      <w:r w:rsidRPr="00BF5904">
        <w:rPr>
          <w:rFonts w:ascii="Geomanist" w:hAnsi="Geomanist"/>
          <w:sz w:val="22"/>
          <w:szCs w:val="22"/>
        </w:rPr>
        <w:t>debidamente</w:t>
      </w:r>
      <w:r w:rsidRPr="00BF5904">
        <w:rPr>
          <w:rFonts w:ascii="Geomanist" w:hAnsi="Geomanist"/>
          <w:b/>
          <w:sz w:val="22"/>
          <w:szCs w:val="22"/>
        </w:rPr>
        <w:t xml:space="preserve"> </w:t>
      </w:r>
      <w:r w:rsidRPr="00BF5904">
        <w:rPr>
          <w:rFonts w:ascii="Geomanist" w:hAnsi="Geomanist"/>
          <w:sz w:val="22"/>
          <w:szCs w:val="22"/>
        </w:rPr>
        <w:t xml:space="preserve">empacados, con la envoltura original del fabricante y en condiciones de embalaje que los resguarde del polvo y la </w:t>
      </w:r>
      <w:r w:rsidRPr="00BF5904">
        <w:rPr>
          <w:rFonts w:ascii="Geomanist" w:hAnsi="Geomanist"/>
          <w:sz w:val="22"/>
          <w:szCs w:val="22"/>
        </w:rPr>
        <w:lastRenderedPageBreak/>
        <w:t xml:space="preserve">humedad. El proveedor entregará junto con los bienes un acta de Entrega-Recepción </w:t>
      </w:r>
      <w:r w:rsidR="00C715F1">
        <w:rPr>
          <w:rFonts w:ascii="Geomanist" w:hAnsi="Geomanist"/>
          <w:sz w:val="22"/>
          <w:szCs w:val="22"/>
        </w:rPr>
        <w:t xml:space="preserve">o </w:t>
      </w:r>
      <w:r w:rsidRPr="00BF5904">
        <w:rPr>
          <w:rFonts w:ascii="Geomanist" w:hAnsi="Geomanist"/>
          <w:sz w:val="22"/>
          <w:szCs w:val="22"/>
        </w:rPr>
        <w:t>Remisión, la cual contendrá como mínimo la descripción del bien, cantidad, presentación, precio unitario y número de contrato, en la cual la M. en C. Itzel Isaura Baca Ibarra, Jefa del Bioterio de la CIS, quien es la responsable de la recepción de los bienes, deberá anotar nombre, firma, matrícula y fecha</w:t>
      </w:r>
      <w:r w:rsidRPr="00BF5904" w:rsidDel="00DB4CC5">
        <w:rPr>
          <w:rFonts w:ascii="Geomanist" w:hAnsi="Geomanist"/>
          <w:sz w:val="22"/>
          <w:szCs w:val="22"/>
        </w:rPr>
        <w:t xml:space="preserve"> </w:t>
      </w:r>
      <w:r w:rsidRPr="00BF5904">
        <w:rPr>
          <w:rFonts w:ascii="Geomanist" w:eastAsia="Calibri" w:hAnsi="Geomanist"/>
          <w:sz w:val="22"/>
          <w:szCs w:val="22"/>
        </w:rPr>
        <w:t>en la correspondiente Acta Entrega- Recepción o Remisión.</w:t>
      </w:r>
    </w:p>
    <w:p w14:paraId="502A650B" w14:textId="77777777" w:rsidR="00BF5904" w:rsidRPr="00BF5904" w:rsidRDefault="00BF5904" w:rsidP="00BF5904">
      <w:pPr>
        <w:tabs>
          <w:tab w:val="left" w:pos="709"/>
          <w:tab w:val="left" w:pos="4536"/>
        </w:tabs>
        <w:suppressAutoHyphens/>
        <w:ind w:left="426"/>
        <w:jc w:val="both"/>
        <w:rPr>
          <w:rFonts w:ascii="Geomanist" w:eastAsia="Calibri" w:hAnsi="Geomanist"/>
          <w:sz w:val="22"/>
          <w:szCs w:val="22"/>
        </w:rPr>
      </w:pPr>
    </w:p>
    <w:p w14:paraId="05733868" w14:textId="77777777" w:rsidR="00BF5904" w:rsidRPr="00BF5904" w:rsidRDefault="00BF5904" w:rsidP="00BF5904">
      <w:pPr>
        <w:pStyle w:val="Prrafodelista"/>
        <w:tabs>
          <w:tab w:val="left" w:pos="-284"/>
          <w:tab w:val="left" w:pos="9498"/>
        </w:tabs>
        <w:spacing w:after="0" w:line="240" w:lineRule="auto"/>
        <w:ind w:left="567" w:right="23"/>
        <w:jc w:val="both"/>
        <w:rPr>
          <w:rFonts w:ascii="Geomanist" w:hAnsi="Geomanist"/>
        </w:rPr>
      </w:pPr>
      <w:r w:rsidRPr="00BF5904">
        <w:rPr>
          <w:rFonts w:ascii="Geomanist" w:hAnsi="Geomanist"/>
        </w:rPr>
        <w:t>La transportación de los bienes, las maniobras de carga y descarga en el lugar de entrega serán a cargo del proveedor, así como el aseguramiento de los bienes, hasta que éstos sean recibidos de conformidad por el Instituto.</w:t>
      </w:r>
    </w:p>
    <w:p w14:paraId="3047A65A" w14:textId="77777777" w:rsidR="00BF5904" w:rsidRPr="00BF5904" w:rsidRDefault="00BF5904" w:rsidP="00BF5904">
      <w:pPr>
        <w:tabs>
          <w:tab w:val="left" w:pos="0"/>
        </w:tabs>
        <w:suppressAutoHyphens/>
        <w:jc w:val="both"/>
        <w:rPr>
          <w:rFonts w:ascii="Geomanist" w:hAnsi="Geomanist"/>
          <w:sz w:val="22"/>
          <w:szCs w:val="22"/>
        </w:rPr>
      </w:pPr>
    </w:p>
    <w:p w14:paraId="47C5A9DB" w14:textId="032D8253" w:rsidR="00BF5904" w:rsidRPr="00BF5904" w:rsidRDefault="00BF5904" w:rsidP="00314E55">
      <w:pPr>
        <w:pStyle w:val="Prrafodelista"/>
        <w:numPr>
          <w:ilvl w:val="0"/>
          <w:numId w:val="11"/>
        </w:numPr>
        <w:tabs>
          <w:tab w:val="left" w:pos="9540"/>
        </w:tabs>
        <w:suppressAutoHyphens/>
        <w:ind w:left="567"/>
        <w:jc w:val="both"/>
        <w:rPr>
          <w:rFonts w:ascii="Geomanist" w:eastAsiaTheme="minorEastAsia" w:hAnsi="Geomanist" w:cs="Arial"/>
          <w:lang w:val="es-ES_tradnl" w:eastAsia="ar-SA"/>
        </w:rPr>
      </w:pPr>
      <w:r w:rsidRPr="00BF5904">
        <w:rPr>
          <w:rFonts w:ascii="Geomanist" w:eastAsiaTheme="minorEastAsia" w:hAnsi="Geomanist" w:cs="Arial"/>
          <w:b/>
          <w:lang w:val="es-ES_tradnl" w:eastAsia="ar-SA"/>
        </w:rPr>
        <w:t>CRITERIO DE EVALUACIÓN DE PROPOSICIONES CONFORME A LO DISPUESTO POR LOS ARTÍCULOS 51, 52 Y 53 DEL RLAASSP.</w:t>
      </w:r>
      <w:r w:rsidRPr="00BF5904">
        <w:rPr>
          <w:rFonts w:ascii="Geomanist" w:eastAsiaTheme="minorEastAsia" w:hAnsi="Geomanist" w:cs="Arial"/>
          <w:lang w:val="es-ES_tradnl" w:eastAsia="ar-SA"/>
        </w:rPr>
        <w:t xml:space="preserve"> Las proposiciones presentadas por los participantes interesados serán evaluadas bajo el criterio binario, conforme a lo dispuesto en el artículo 36 segundo párrafo y 36 Bis de la Ley de Adquisiciones, Arrendamientos y Servicios del Sector Público</w:t>
      </w:r>
      <w:r w:rsidR="00566DFB">
        <w:rPr>
          <w:rFonts w:ascii="Geomanist" w:eastAsiaTheme="minorEastAsia" w:hAnsi="Geomanist" w:cs="Arial"/>
          <w:lang w:val="es-ES_tradnl" w:eastAsia="ar-SA"/>
        </w:rPr>
        <w:t xml:space="preserve"> (LAASSP)</w:t>
      </w:r>
      <w:r w:rsidRPr="00BF5904">
        <w:rPr>
          <w:rFonts w:ascii="Geomanist" w:eastAsiaTheme="minorEastAsia" w:hAnsi="Geomanist" w:cs="Arial"/>
          <w:lang w:val="es-ES_tradnl" w:eastAsia="ar-SA"/>
        </w:rPr>
        <w:t>, en relación con el diverso 51 de su Reglamento, toda vez que no se requiere vincular las condiciones que deberán cumplir los proveedores con las características y especificaciones de los bienes a adquirir porque estos se encuentran estandarizados en el mercado y el factor preponderante que se considerará para la adjudicación del contrato es el precio más bajo.</w:t>
      </w:r>
    </w:p>
    <w:p w14:paraId="05120443" w14:textId="77777777" w:rsidR="00BF5904" w:rsidRPr="00BF5904" w:rsidRDefault="00BF5904" w:rsidP="00BF5904">
      <w:pPr>
        <w:pStyle w:val="Prrafodelista"/>
        <w:tabs>
          <w:tab w:val="left" w:pos="426"/>
          <w:tab w:val="left" w:pos="9540"/>
        </w:tabs>
        <w:suppressAutoHyphens/>
        <w:spacing w:after="0" w:line="240" w:lineRule="auto"/>
        <w:ind w:left="426"/>
        <w:jc w:val="both"/>
        <w:rPr>
          <w:rFonts w:ascii="Geomanist" w:eastAsiaTheme="minorEastAsia" w:hAnsi="Geomanist" w:cs="Arial"/>
          <w:lang w:val="es-ES_tradnl" w:eastAsia="ar-SA"/>
        </w:rPr>
      </w:pPr>
    </w:p>
    <w:p w14:paraId="1F3A3FAE" w14:textId="08737AE9" w:rsidR="00BF5904" w:rsidRPr="00BF5904" w:rsidRDefault="00BF5904" w:rsidP="00BF5904">
      <w:pPr>
        <w:pStyle w:val="Prrafodelista"/>
        <w:ind w:left="567"/>
        <w:jc w:val="both"/>
        <w:rPr>
          <w:rFonts w:ascii="Geomanist" w:eastAsiaTheme="minorEastAsia" w:hAnsi="Geomanist" w:cs="Arial"/>
          <w:lang w:val="es-ES_tradnl" w:eastAsia="ar-SA"/>
        </w:rPr>
      </w:pPr>
      <w:r w:rsidRPr="00BF5904">
        <w:rPr>
          <w:rFonts w:ascii="Geomanist" w:eastAsiaTheme="minorEastAsia" w:hAnsi="Geomanist" w:cs="Arial"/>
          <w:b/>
          <w:lang w:val="es-ES_tradnl" w:eastAsia="ar-SA"/>
        </w:rPr>
        <w:t>Verificación Documental que realizará el Área Técnica.</w:t>
      </w:r>
      <w:r w:rsidRPr="00BF5904">
        <w:rPr>
          <w:rFonts w:ascii="Geomanist" w:eastAsiaTheme="minorEastAsia" w:hAnsi="Geomanist" w:cs="Arial"/>
          <w:lang w:val="es-ES_tradnl" w:eastAsia="ar-SA"/>
        </w:rPr>
        <w:t xml:space="preserve"> El Área Técnica verificará que el certificado presentado sea emitido por el ente que se indica en el </w:t>
      </w:r>
      <w:r w:rsidR="00A06FCD">
        <w:rPr>
          <w:rFonts w:ascii="Geomanist" w:eastAsiaTheme="minorEastAsia" w:hAnsi="Geomanist" w:cs="Arial"/>
          <w:lang w:val="es-ES_tradnl" w:eastAsia="ar-SA"/>
        </w:rPr>
        <w:t xml:space="preserve">párrafo </w:t>
      </w:r>
      <w:r w:rsidRPr="00BF5904">
        <w:rPr>
          <w:rFonts w:ascii="Geomanist" w:eastAsiaTheme="minorEastAsia" w:hAnsi="Geomanist" w:cs="Arial"/>
          <w:lang w:val="es-ES_tradnl" w:eastAsia="ar-SA"/>
        </w:rPr>
        <w:t xml:space="preserve">denominado </w:t>
      </w:r>
      <w:r w:rsidRPr="00BF5904">
        <w:rPr>
          <w:rFonts w:ascii="Geomanist" w:eastAsiaTheme="minorEastAsia" w:hAnsi="Geomanist" w:cs="Arial"/>
          <w:b/>
          <w:lang w:val="es-ES_tradnl" w:eastAsia="ar-SA"/>
        </w:rPr>
        <w:t>“MÉTODO DE EVALUACIÓN DE LAS PROPOSICIONES QUE EFECTUARÁ EL AREA TÉCNICA”</w:t>
      </w:r>
      <w:r w:rsidRPr="00BF5904">
        <w:rPr>
          <w:rFonts w:ascii="Geomanist" w:eastAsiaTheme="minorEastAsia" w:hAnsi="Geomanist" w:cs="Arial"/>
          <w:lang w:val="es-ES_tradnl" w:eastAsia="ar-SA"/>
        </w:rPr>
        <w:t>, numeral</w:t>
      </w:r>
      <w:r w:rsidR="00A06FCD">
        <w:rPr>
          <w:rFonts w:ascii="Geomanist" w:eastAsiaTheme="minorEastAsia" w:hAnsi="Geomanist" w:cs="Arial"/>
          <w:lang w:val="es-ES_tradnl" w:eastAsia="ar-SA"/>
        </w:rPr>
        <w:t xml:space="preserve">es </w:t>
      </w:r>
      <w:r w:rsidRPr="00BF5904">
        <w:rPr>
          <w:rFonts w:ascii="Geomanist" w:eastAsiaTheme="minorEastAsia" w:hAnsi="Geomanist" w:cs="Arial"/>
          <w:lang w:val="es-ES_tradnl" w:eastAsia="ar-SA"/>
        </w:rPr>
        <w:t>3 y 4., del documento denominado Anexo Técnico, que se encuentre vigente, que sea legible y que a simple vista no presente tachaduras o enmendaduras. Asimismo, verificará que el formato de propuesta técnica presentado, así como, los folletos, fichas técnicas y/o fotografías, cumplan con las cantidades y características requeridas y que estén debidamente firmados. En caso de que se encuentre en otro idioma diferente al español, tendrá que presentarse acompañado de la traducción correspondiente.</w:t>
      </w:r>
    </w:p>
    <w:p w14:paraId="18A9B8AD" w14:textId="77777777" w:rsidR="00BF5904" w:rsidRDefault="00BF5904" w:rsidP="00BF5904">
      <w:pPr>
        <w:ind w:left="567"/>
        <w:contextualSpacing/>
        <w:jc w:val="both"/>
        <w:rPr>
          <w:rFonts w:ascii="Geomanist" w:hAnsi="Geomanist" w:cs="Arial"/>
          <w:sz w:val="22"/>
          <w:szCs w:val="22"/>
          <w:lang w:eastAsia="ar-SA"/>
        </w:rPr>
      </w:pPr>
      <w:r w:rsidRPr="00BF5904">
        <w:rPr>
          <w:rFonts w:ascii="Geomanist" w:hAnsi="Geomanist" w:cs="Arial"/>
          <w:sz w:val="22"/>
          <w:szCs w:val="22"/>
          <w:lang w:eastAsia="ar-SA"/>
        </w:rPr>
        <w:t>Los documentos presentados, deberán ser claros y legibles, de lo contrario o de no presentarlos, la propuesta será desechada y no serán considerados para la evaluación técnica.</w:t>
      </w:r>
    </w:p>
    <w:p w14:paraId="00F3D50F" w14:textId="77777777" w:rsidR="00A06FCD" w:rsidRPr="00BF5904" w:rsidRDefault="00A06FCD" w:rsidP="00BF5904">
      <w:pPr>
        <w:ind w:left="567"/>
        <w:contextualSpacing/>
        <w:jc w:val="both"/>
        <w:rPr>
          <w:rFonts w:ascii="Geomanist" w:hAnsi="Geomanist" w:cs="Arial"/>
          <w:sz w:val="22"/>
          <w:szCs w:val="22"/>
          <w:lang w:eastAsia="ar-SA"/>
        </w:rPr>
      </w:pPr>
    </w:p>
    <w:p w14:paraId="421E7CBF" w14:textId="77777777" w:rsidR="00BF5904" w:rsidRDefault="00BF5904" w:rsidP="00BF5904">
      <w:pPr>
        <w:ind w:left="567"/>
        <w:contextualSpacing/>
        <w:jc w:val="both"/>
        <w:rPr>
          <w:rFonts w:ascii="Geomanist" w:hAnsi="Geomanist" w:cs="Arial"/>
          <w:sz w:val="22"/>
          <w:szCs w:val="22"/>
          <w:lang w:eastAsia="ar-SA"/>
        </w:rPr>
      </w:pPr>
      <w:r w:rsidRPr="00BF5904">
        <w:rPr>
          <w:rFonts w:ascii="Geomanist" w:hAnsi="Geomanist" w:cs="Arial"/>
          <w:sz w:val="22"/>
          <w:szCs w:val="22"/>
          <w:lang w:eastAsia="ar-SA"/>
        </w:rPr>
        <w:t>Se comprobará que las proposiciones cumplan con las condiciones legales, técnicas y económicas requeridas. Las propuestas que no cumplan con las citadas condiciones serán desechadas cuando se afecte la solvencia de las mismas.</w:t>
      </w:r>
    </w:p>
    <w:p w14:paraId="254142C5" w14:textId="77777777" w:rsidR="00A06FCD" w:rsidRPr="00BF5904" w:rsidRDefault="00A06FCD" w:rsidP="00BF5904">
      <w:pPr>
        <w:ind w:left="567"/>
        <w:contextualSpacing/>
        <w:jc w:val="both"/>
        <w:rPr>
          <w:rFonts w:ascii="Geomanist" w:hAnsi="Geomanist" w:cs="Arial"/>
          <w:sz w:val="22"/>
          <w:szCs w:val="22"/>
          <w:lang w:eastAsia="ar-SA"/>
        </w:rPr>
      </w:pPr>
    </w:p>
    <w:p w14:paraId="26A47232" w14:textId="77777777" w:rsidR="00BF5904" w:rsidRDefault="00BF5904" w:rsidP="00BF5904">
      <w:pPr>
        <w:ind w:left="567"/>
        <w:contextualSpacing/>
        <w:jc w:val="both"/>
        <w:rPr>
          <w:rFonts w:ascii="Geomanist" w:hAnsi="Geomanist" w:cs="Arial"/>
          <w:sz w:val="22"/>
          <w:szCs w:val="22"/>
          <w:lang w:eastAsia="ar-SA"/>
        </w:rPr>
      </w:pPr>
      <w:r w:rsidRPr="00BF5904">
        <w:rPr>
          <w:rFonts w:ascii="Geomanist" w:hAnsi="Geomanist" w:cs="Arial"/>
          <w:sz w:val="22"/>
          <w:szCs w:val="22"/>
          <w:lang w:eastAsia="ar-SA"/>
        </w:rPr>
        <w:t>Las propuestas serán desechadas cuando no oferten la misma cantidad de bienes solicitados en la partida.</w:t>
      </w:r>
    </w:p>
    <w:p w14:paraId="53AB3A63" w14:textId="77777777" w:rsidR="00A06FCD" w:rsidRPr="00BF5904" w:rsidRDefault="00A06FCD" w:rsidP="00BF5904">
      <w:pPr>
        <w:ind w:left="567"/>
        <w:contextualSpacing/>
        <w:jc w:val="both"/>
        <w:rPr>
          <w:rFonts w:ascii="Geomanist" w:hAnsi="Geomanist" w:cs="Arial"/>
          <w:sz w:val="22"/>
          <w:szCs w:val="22"/>
          <w:lang w:eastAsia="ar-SA"/>
        </w:rPr>
      </w:pPr>
    </w:p>
    <w:p w14:paraId="0DBDB498" w14:textId="77777777" w:rsidR="00BF5904" w:rsidRPr="00BF5904" w:rsidRDefault="00BF5904" w:rsidP="00BF5904">
      <w:pPr>
        <w:ind w:left="567"/>
        <w:contextualSpacing/>
        <w:jc w:val="both"/>
        <w:rPr>
          <w:rFonts w:ascii="Geomanist" w:hAnsi="Geomanist" w:cs="Arial"/>
          <w:sz w:val="22"/>
          <w:szCs w:val="22"/>
          <w:lang w:eastAsia="ar-SA"/>
        </w:rPr>
      </w:pPr>
      <w:r w:rsidRPr="00BF5904">
        <w:rPr>
          <w:rFonts w:ascii="Geomanist" w:hAnsi="Geomanist" w:cs="Arial"/>
          <w:sz w:val="22"/>
          <w:szCs w:val="22"/>
          <w:lang w:eastAsia="ar-SA"/>
        </w:rPr>
        <w:t xml:space="preserve">De no presentar la documentación requerida para la Propuesta Técnica con las características y requisitos solicitados o cuando aún presentada, no exista congruencia, </w:t>
      </w:r>
      <w:r w:rsidRPr="00BF5904">
        <w:rPr>
          <w:rFonts w:ascii="Geomanist" w:hAnsi="Geomanist" w:cs="Arial"/>
          <w:sz w:val="22"/>
          <w:szCs w:val="22"/>
          <w:lang w:eastAsia="ar-SA"/>
        </w:rPr>
        <w:lastRenderedPageBreak/>
        <w:t>entre los documentos, los catálogos, se desechará la Propuesta Técnica por no cumplir con lo solicitado.</w:t>
      </w:r>
    </w:p>
    <w:p w14:paraId="41C5E92F" w14:textId="77777777" w:rsidR="00BF5904" w:rsidRPr="00BF5904" w:rsidRDefault="00BF5904" w:rsidP="00BF5904">
      <w:pPr>
        <w:ind w:left="426"/>
        <w:contextualSpacing/>
        <w:jc w:val="both"/>
        <w:rPr>
          <w:rFonts w:ascii="Geomanist" w:hAnsi="Geomanist" w:cs="Arial"/>
          <w:sz w:val="22"/>
          <w:szCs w:val="22"/>
          <w:lang w:eastAsia="ar-SA"/>
        </w:rPr>
      </w:pPr>
    </w:p>
    <w:p w14:paraId="608F923B" w14:textId="79EE28FD" w:rsidR="00BF5904" w:rsidRPr="00BF5904" w:rsidRDefault="00BF5904" w:rsidP="00BF5904">
      <w:pPr>
        <w:pStyle w:val="Prrafodelista"/>
        <w:numPr>
          <w:ilvl w:val="0"/>
          <w:numId w:val="11"/>
        </w:numPr>
        <w:tabs>
          <w:tab w:val="left" w:pos="426"/>
        </w:tabs>
        <w:spacing w:after="200" w:line="240" w:lineRule="auto"/>
        <w:jc w:val="both"/>
        <w:rPr>
          <w:rFonts w:ascii="Geomanist" w:eastAsia="Calibri" w:hAnsi="Geomanist"/>
        </w:rPr>
      </w:pPr>
      <w:r w:rsidRPr="00BF5904">
        <w:rPr>
          <w:rFonts w:ascii="Geomanist" w:hAnsi="Geomanist"/>
          <w:b/>
        </w:rPr>
        <w:t xml:space="preserve">LICENCIAS, PERMISOS, REGISTROS, CERTIFICADOS O AUTORIZACIONES QUE DEBE CUMPLIR O APLICARSE AL BIEN O SERVICIO A CONTRATAR. </w:t>
      </w:r>
      <w:r w:rsidRPr="00BF5904">
        <w:rPr>
          <w:rFonts w:ascii="Geomanist" w:eastAsia="Calibri" w:hAnsi="Geomanist"/>
        </w:rPr>
        <w:t xml:space="preserve">Conforme a los incisos </w:t>
      </w:r>
      <w:r w:rsidRPr="00BF5904">
        <w:rPr>
          <w:rFonts w:ascii="Geomanist" w:eastAsia="Calibri" w:hAnsi="Geomanist"/>
          <w:b/>
        </w:rPr>
        <w:t>a)</w:t>
      </w:r>
      <w:r w:rsidRPr="00BF5904">
        <w:rPr>
          <w:rFonts w:ascii="Geomanist" w:eastAsia="Calibri" w:hAnsi="Geomanist"/>
        </w:rPr>
        <w:t xml:space="preserve"> Descripción amplia y detallada de los bienes a adquirir…, </w:t>
      </w:r>
      <w:r w:rsidRPr="00BF5904">
        <w:rPr>
          <w:rFonts w:ascii="Geomanist" w:eastAsia="Calibri" w:hAnsi="Geomanist"/>
          <w:b/>
        </w:rPr>
        <w:t xml:space="preserve">b), d), e) </w:t>
      </w:r>
      <w:r w:rsidRPr="00314E55">
        <w:rPr>
          <w:rFonts w:ascii="Geomanist" w:eastAsia="Calibri" w:hAnsi="Geomanist"/>
        </w:rPr>
        <w:t>y</w:t>
      </w:r>
      <w:r w:rsidRPr="00BF5904">
        <w:rPr>
          <w:rFonts w:ascii="Geomanist" w:eastAsia="Calibri" w:hAnsi="Geomanist"/>
          <w:b/>
        </w:rPr>
        <w:t xml:space="preserve"> </w:t>
      </w:r>
      <w:r w:rsidRPr="00BF5904">
        <w:rPr>
          <w:rFonts w:ascii="Geomanist" w:eastAsia="Calibri" w:hAnsi="Geomanist"/>
        </w:rPr>
        <w:t>al</w:t>
      </w:r>
      <w:r w:rsidRPr="00BF5904">
        <w:rPr>
          <w:rFonts w:ascii="Geomanist" w:eastAsia="Calibri" w:hAnsi="Geomanist"/>
          <w:b/>
        </w:rPr>
        <w:t xml:space="preserve"> </w:t>
      </w:r>
      <w:r w:rsidR="00A06FCD">
        <w:rPr>
          <w:rFonts w:ascii="Geomanist" w:eastAsiaTheme="minorEastAsia" w:hAnsi="Geomanist" w:cs="Arial"/>
          <w:lang w:val="es-ES_tradnl" w:eastAsia="ar-SA"/>
        </w:rPr>
        <w:t>párrafo</w:t>
      </w:r>
      <w:r w:rsidR="00A06FCD" w:rsidRPr="00BF5904">
        <w:rPr>
          <w:rFonts w:ascii="Geomanist" w:eastAsiaTheme="minorEastAsia" w:hAnsi="Geomanist" w:cs="Arial"/>
          <w:lang w:val="es-ES_tradnl" w:eastAsia="ar-SA"/>
        </w:rPr>
        <w:t xml:space="preserve"> </w:t>
      </w:r>
      <w:r w:rsidRPr="00BF5904">
        <w:rPr>
          <w:rFonts w:ascii="Geomanist" w:eastAsiaTheme="minorEastAsia" w:hAnsi="Geomanist" w:cs="Arial"/>
          <w:lang w:val="es-ES_tradnl" w:eastAsia="ar-SA"/>
        </w:rPr>
        <w:t xml:space="preserve">denominado </w:t>
      </w:r>
      <w:r w:rsidRPr="00BF5904">
        <w:rPr>
          <w:rFonts w:ascii="Geomanist" w:eastAsiaTheme="minorEastAsia" w:hAnsi="Geomanist" w:cs="Arial"/>
          <w:b/>
          <w:lang w:val="es-ES_tradnl" w:eastAsia="ar-SA"/>
        </w:rPr>
        <w:t>“MÉTODO DE EVALUACIÓN DE LAS PROPOSICIONES QUE EFECTUARÁ EL AREA TÉCNICA”</w:t>
      </w:r>
      <w:r w:rsidRPr="00BF5904">
        <w:rPr>
          <w:rFonts w:ascii="Geomanist" w:eastAsiaTheme="minorEastAsia" w:hAnsi="Geomanist" w:cs="Arial"/>
          <w:lang w:val="es-ES_tradnl" w:eastAsia="ar-SA"/>
        </w:rPr>
        <w:t xml:space="preserve">, </w:t>
      </w:r>
      <w:r w:rsidRPr="00BF5904">
        <w:rPr>
          <w:rFonts w:ascii="Geomanist" w:eastAsia="Calibri" w:hAnsi="Geomanist"/>
        </w:rPr>
        <w:t xml:space="preserve"> del Anexo Técnico. </w:t>
      </w:r>
    </w:p>
    <w:p w14:paraId="7EE9B952" w14:textId="77777777" w:rsidR="00BF5904" w:rsidRPr="00BF5904" w:rsidRDefault="00BF5904" w:rsidP="00BF5904">
      <w:pPr>
        <w:pStyle w:val="Prrafodelista"/>
        <w:tabs>
          <w:tab w:val="left" w:pos="426"/>
        </w:tabs>
        <w:spacing w:after="200" w:line="240" w:lineRule="auto"/>
        <w:ind w:left="360"/>
        <w:jc w:val="both"/>
        <w:rPr>
          <w:rFonts w:ascii="Geomanist" w:eastAsia="Calibri" w:hAnsi="Geomanist"/>
        </w:rPr>
      </w:pPr>
    </w:p>
    <w:p w14:paraId="67778176" w14:textId="7133A6E7" w:rsidR="00BF5904" w:rsidRPr="00BF5904" w:rsidRDefault="00BF5904" w:rsidP="00BF5904">
      <w:pPr>
        <w:pStyle w:val="Prrafodelista"/>
        <w:numPr>
          <w:ilvl w:val="0"/>
          <w:numId w:val="11"/>
        </w:numPr>
        <w:spacing w:after="200"/>
        <w:jc w:val="both"/>
        <w:rPr>
          <w:rFonts w:ascii="Geomanist" w:hAnsi="Geomanist"/>
        </w:rPr>
      </w:pPr>
      <w:r w:rsidRPr="00BF5904">
        <w:rPr>
          <w:rFonts w:ascii="Geomanist" w:hAnsi="Geomanist"/>
          <w:b/>
        </w:rPr>
        <w:t xml:space="preserve">DOCUMENTACIÓN TÉCNICA NECESARIA COMO PUEDEN SER: FOLLETOS, CATÁLOGOS, FOTOGRAFÍAS, MANUALES ENTRE OTROS, EN CASO DE QUE SE REQUIERAN PARA COMPROBAR ESPECÍFICACIONES. </w:t>
      </w:r>
      <w:r w:rsidRPr="00BF5904">
        <w:rPr>
          <w:rFonts w:ascii="Geomanist" w:hAnsi="Geomanist"/>
        </w:rPr>
        <w:t xml:space="preserve">Conforme al </w:t>
      </w:r>
      <w:r w:rsidR="00404FF4">
        <w:rPr>
          <w:rFonts w:ascii="Geomanist" w:eastAsiaTheme="minorEastAsia" w:hAnsi="Geomanist" w:cs="Arial"/>
          <w:lang w:val="es-ES_tradnl" w:eastAsia="ar-SA"/>
        </w:rPr>
        <w:t>párrafo</w:t>
      </w:r>
      <w:r w:rsidR="00404FF4" w:rsidRPr="00BF5904">
        <w:rPr>
          <w:rFonts w:ascii="Geomanist" w:eastAsiaTheme="minorEastAsia" w:hAnsi="Geomanist" w:cs="Arial"/>
          <w:lang w:val="es-ES_tradnl" w:eastAsia="ar-SA"/>
        </w:rPr>
        <w:t xml:space="preserve"> </w:t>
      </w:r>
      <w:r w:rsidRPr="00BF5904">
        <w:rPr>
          <w:rFonts w:ascii="Geomanist" w:eastAsiaTheme="minorEastAsia" w:hAnsi="Geomanist" w:cs="Arial"/>
          <w:lang w:val="es-ES_tradnl" w:eastAsia="ar-SA"/>
        </w:rPr>
        <w:t xml:space="preserve">denominado </w:t>
      </w:r>
      <w:r w:rsidRPr="00BF5904">
        <w:rPr>
          <w:rFonts w:ascii="Geomanist" w:eastAsiaTheme="minorEastAsia" w:hAnsi="Geomanist" w:cs="Arial"/>
          <w:b/>
          <w:lang w:val="es-ES_tradnl" w:eastAsia="ar-SA"/>
        </w:rPr>
        <w:t>“MÉTODO DE EVALUACIÓN DE LAS PROPOSICIONES QUE EFECTUARÁ EL AREA TÉCNICA”</w:t>
      </w:r>
      <w:r w:rsidRPr="00BF5904">
        <w:rPr>
          <w:rFonts w:ascii="Geomanist" w:eastAsiaTheme="minorEastAsia" w:hAnsi="Geomanist" w:cs="Arial"/>
          <w:lang w:val="es-ES_tradnl" w:eastAsia="ar-SA"/>
        </w:rPr>
        <w:t xml:space="preserve">, </w:t>
      </w:r>
      <w:r w:rsidRPr="00BF5904">
        <w:rPr>
          <w:rFonts w:ascii="Geomanist" w:hAnsi="Geomanist"/>
        </w:rPr>
        <w:t xml:space="preserve"> en su </w:t>
      </w:r>
      <w:r w:rsidR="00404FF4">
        <w:rPr>
          <w:rFonts w:ascii="Geomanist" w:hAnsi="Geomanist"/>
        </w:rPr>
        <w:t>numeral</w:t>
      </w:r>
      <w:r w:rsidR="00404FF4" w:rsidRPr="00BF5904">
        <w:rPr>
          <w:rFonts w:ascii="Geomanist" w:hAnsi="Geomanist"/>
        </w:rPr>
        <w:t xml:space="preserve"> </w:t>
      </w:r>
      <w:r w:rsidRPr="00BF5904">
        <w:rPr>
          <w:rFonts w:ascii="Geomanist" w:hAnsi="Geomanist"/>
        </w:rPr>
        <w:t>2 del Anexo Técnico.</w:t>
      </w:r>
    </w:p>
    <w:p w14:paraId="6EAE83AD" w14:textId="77777777" w:rsidR="00BF5904" w:rsidRPr="00BF5904" w:rsidRDefault="00BF5904" w:rsidP="00BF5904">
      <w:pPr>
        <w:pStyle w:val="Prrafodelista"/>
        <w:spacing w:after="200"/>
        <w:jc w:val="both"/>
        <w:rPr>
          <w:rFonts w:ascii="Geomanist" w:hAnsi="Geomanist"/>
        </w:rPr>
      </w:pPr>
    </w:p>
    <w:p w14:paraId="37FE6EB2" w14:textId="77777777" w:rsidR="00BF5904" w:rsidRPr="00BF5904" w:rsidRDefault="00BF5904" w:rsidP="00BF5904">
      <w:pPr>
        <w:pStyle w:val="Prrafodelista"/>
        <w:numPr>
          <w:ilvl w:val="0"/>
          <w:numId w:val="11"/>
        </w:numPr>
        <w:spacing w:after="200" w:line="240" w:lineRule="auto"/>
        <w:jc w:val="both"/>
        <w:rPr>
          <w:rFonts w:ascii="Geomanist" w:hAnsi="Geomanist"/>
        </w:rPr>
      </w:pPr>
      <w:r w:rsidRPr="00BF5904">
        <w:rPr>
          <w:rFonts w:ascii="Geomanist" w:hAnsi="Geomanist"/>
          <w:b/>
        </w:rPr>
        <w:t>VISITAS A LAS INSTALACIONES INSTITUCIONALES, DONDE SE SUMINISTRARAN O COLOCARÁN LOS BIENES O DONDE SE PRESTARÁN LOS SERVICIOS, EN SU CASO.</w:t>
      </w:r>
      <w:r w:rsidRPr="00BF5904">
        <w:rPr>
          <w:rFonts w:ascii="Geomanist" w:hAnsi="Geomanist"/>
        </w:rPr>
        <w:t xml:space="preserve"> No se requieren visitas a las instalaciones institucionales por parte de los proveedores participantes.</w:t>
      </w:r>
    </w:p>
    <w:p w14:paraId="36E97D67" w14:textId="77777777" w:rsidR="00BF5904" w:rsidRPr="00BF5904" w:rsidRDefault="00BF5904" w:rsidP="00BF5904">
      <w:pPr>
        <w:pStyle w:val="Prrafodelista"/>
        <w:spacing w:after="200" w:line="240" w:lineRule="auto"/>
        <w:jc w:val="both"/>
        <w:rPr>
          <w:rFonts w:ascii="Geomanist" w:hAnsi="Geomanist"/>
        </w:rPr>
      </w:pPr>
    </w:p>
    <w:p w14:paraId="367CB0FC" w14:textId="77777777" w:rsidR="00BF5904" w:rsidRPr="00BF5904" w:rsidRDefault="00BF5904" w:rsidP="00BF5904">
      <w:pPr>
        <w:pStyle w:val="Prrafodelista"/>
        <w:numPr>
          <w:ilvl w:val="0"/>
          <w:numId w:val="11"/>
        </w:numPr>
        <w:spacing w:after="200" w:line="240" w:lineRule="auto"/>
        <w:jc w:val="both"/>
        <w:rPr>
          <w:rFonts w:ascii="Geomanist" w:eastAsia="Calibri" w:hAnsi="Geomanist"/>
        </w:rPr>
      </w:pPr>
      <w:r w:rsidRPr="00BF5904">
        <w:rPr>
          <w:rFonts w:ascii="Geomanist" w:eastAsia="Calibri" w:hAnsi="Geomanist"/>
          <w:b/>
        </w:rPr>
        <w:t xml:space="preserve">SI SE REQUIERE EFECTUAR VISITAS A LAS INSTALACIONES DE LOS LICITANTES SE DEBERÁ PRECISAR PUNTUALMENTE, EL OBJETO Y EL RESULTADO QUE SE ESPERA OBTENER DE LA MISMA, A EFECTO DE QUE SE PLASME EN LA CONVOCATORIA. </w:t>
      </w:r>
      <w:r w:rsidRPr="00BF5904">
        <w:rPr>
          <w:rFonts w:ascii="Geomanist" w:eastAsia="Calibri" w:hAnsi="Geomanist"/>
        </w:rPr>
        <w:t>No se requieren visitas del personal del Instituto a las instalaciones de los proveedores participantes.</w:t>
      </w:r>
    </w:p>
    <w:p w14:paraId="689E81D8" w14:textId="77777777" w:rsidR="00BF5904" w:rsidRPr="00BF5904" w:rsidRDefault="00BF5904" w:rsidP="00BF5904">
      <w:pPr>
        <w:pStyle w:val="Prrafodelista"/>
        <w:rPr>
          <w:rFonts w:ascii="Geomanist" w:eastAsia="Calibri" w:hAnsi="Geomanist"/>
        </w:rPr>
      </w:pPr>
    </w:p>
    <w:p w14:paraId="23E8348E" w14:textId="114BD1EE" w:rsidR="00BF5904" w:rsidRPr="00BF5904" w:rsidRDefault="00BF5904" w:rsidP="00BF5904">
      <w:pPr>
        <w:pStyle w:val="Prrafodelista"/>
        <w:numPr>
          <w:ilvl w:val="0"/>
          <w:numId w:val="11"/>
        </w:numPr>
        <w:spacing w:after="200" w:line="240" w:lineRule="auto"/>
        <w:jc w:val="both"/>
        <w:rPr>
          <w:rFonts w:ascii="Geomanist" w:hAnsi="Geomanist"/>
          <w:color w:val="000000"/>
          <w:lang w:val="es-ES"/>
        </w:rPr>
      </w:pPr>
      <w:r w:rsidRPr="00BF5904">
        <w:rPr>
          <w:rFonts w:ascii="Geomanist" w:hAnsi="Geomanist"/>
          <w:b/>
        </w:rPr>
        <w:t>LAS PENAS CONVENCIONALES Y DEDUCCIONES AL PAGO DE CONFORMIDAD CON LO DISPUESTO EN EL LINEAMIENTO 5.5.8 DE LAS POBALINES.</w:t>
      </w:r>
      <w:r w:rsidRPr="00BF5904">
        <w:rPr>
          <w:rFonts w:ascii="Geomanist" w:hAnsi="Geomanist"/>
          <w:lang w:eastAsia="ar-SA"/>
        </w:rPr>
        <w:t xml:space="preserve"> </w:t>
      </w:r>
      <w:r w:rsidRPr="00BF5904">
        <w:rPr>
          <w:rFonts w:ascii="Geomanist" w:hAnsi="Geomanist"/>
        </w:rPr>
        <w:t xml:space="preserve">Las penas convencionales que se aplicarán por el atraso en la entrega de los bienes, será del </w:t>
      </w:r>
      <w:r w:rsidR="00404FF4">
        <w:rPr>
          <w:rFonts w:ascii="Geomanist" w:hAnsi="Geomanist"/>
        </w:rPr>
        <w:t>0.2</w:t>
      </w:r>
      <w:r w:rsidRPr="00BF5904">
        <w:rPr>
          <w:rFonts w:ascii="Geomanist" w:hAnsi="Geomanist"/>
        </w:rPr>
        <w:t>% del monto de lo incumplido por cada día de atraso, hasta un monto máximo de 1% del valor de los bienes no entregados en tiempo, sin incluir el I.V.A., de conformidad con lo establecido en el numeral 5.5.8 de las Políticas, Bases y Lineamientos en Materia de Adquisiciones, Arrendamientos y Servicios del Instituto Mexicano del Seguro Social</w:t>
      </w:r>
      <w:r w:rsidR="00404FF4">
        <w:rPr>
          <w:rFonts w:ascii="Geomanist" w:hAnsi="Geomanist"/>
        </w:rPr>
        <w:t xml:space="preserve"> (POBALINES)</w:t>
      </w:r>
      <w:r w:rsidR="00314E55">
        <w:rPr>
          <w:rFonts w:ascii="Geomanist" w:hAnsi="Geomanist"/>
        </w:rPr>
        <w:t>del Instituto Mexicano del Seguro Social.</w:t>
      </w:r>
    </w:p>
    <w:p w14:paraId="1E34F372" w14:textId="77777777" w:rsidR="00BF5904" w:rsidRPr="00BF5904" w:rsidRDefault="00BF5904" w:rsidP="00BF5904">
      <w:pPr>
        <w:pStyle w:val="Prrafodelista"/>
        <w:spacing w:after="200" w:line="240" w:lineRule="auto"/>
        <w:ind w:left="360"/>
        <w:jc w:val="both"/>
        <w:rPr>
          <w:rFonts w:ascii="Geomanist" w:hAnsi="Geomanist"/>
          <w:color w:val="000000"/>
          <w:lang w:val="es-ES"/>
        </w:rPr>
      </w:pPr>
    </w:p>
    <w:p w14:paraId="706C174E" w14:textId="77777777" w:rsidR="00BF5904" w:rsidRPr="00BF5904" w:rsidRDefault="00BF5904" w:rsidP="00BF5904">
      <w:pPr>
        <w:pStyle w:val="Prrafodelista"/>
        <w:tabs>
          <w:tab w:val="left" w:pos="4335"/>
        </w:tabs>
        <w:suppressAutoHyphens/>
        <w:spacing w:after="0" w:line="240" w:lineRule="auto"/>
        <w:ind w:left="426"/>
        <w:contextualSpacing w:val="0"/>
        <w:jc w:val="both"/>
        <w:rPr>
          <w:rFonts w:ascii="Geomanist" w:hAnsi="Geomanist"/>
        </w:rPr>
      </w:pPr>
      <w:r w:rsidRPr="00BF5904">
        <w:rPr>
          <w:rFonts w:ascii="Geomanist" w:hAnsi="Geomanist"/>
        </w:rPr>
        <w:t>El responsable de determinar, calcular, registrar y validar en el PREI Millenium, así como aplicar y dar seguimiento a las penas convencionales y deducciones, previstas en los contratos así como notificarlas al proveedor para que éste realice el pago, será el Administrador del Contrato.</w:t>
      </w:r>
    </w:p>
    <w:p w14:paraId="7DC702B1" w14:textId="77777777" w:rsidR="00BF5904" w:rsidRPr="00BF5904" w:rsidRDefault="00BF5904" w:rsidP="00BF5904">
      <w:pPr>
        <w:pStyle w:val="Prrafodelista"/>
        <w:tabs>
          <w:tab w:val="left" w:pos="4335"/>
        </w:tabs>
        <w:suppressAutoHyphens/>
        <w:spacing w:after="0" w:line="240" w:lineRule="auto"/>
        <w:ind w:left="426"/>
        <w:contextualSpacing w:val="0"/>
        <w:jc w:val="both"/>
        <w:rPr>
          <w:rFonts w:ascii="Geomanist" w:hAnsi="Geomanist"/>
        </w:rPr>
      </w:pPr>
    </w:p>
    <w:p w14:paraId="56BF4E24" w14:textId="29F3E1DD" w:rsidR="00BF5904" w:rsidRPr="00BF5904" w:rsidRDefault="00404FF4" w:rsidP="00BF5904">
      <w:pPr>
        <w:pStyle w:val="Prrafodelista"/>
        <w:tabs>
          <w:tab w:val="left" w:pos="4335"/>
        </w:tabs>
        <w:suppressAutoHyphens/>
        <w:spacing w:after="0" w:line="240" w:lineRule="auto"/>
        <w:ind w:left="426"/>
        <w:contextualSpacing w:val="0"/>
        <w:jc w:val="both"/>
        <w:rPr>
          <w:rFonts w:ascii="Geomanist" w:hAnsi="Geomanist"/>
        </w:rPr>
      </w:pPr>
      <w:r>
        <w:rPr>
          <w:rFonts w:ascii="Geomanist" w:hAnsi="Geomanist"/>
        </w:rPr>
        <w:t>L</w:t>
      </w:r>
      <w:r w:rsidR="00BF5904" w:rsidRPr="00BF5904">
        <w:rPr>
          <w:rFonts w:ascii="Geomanist" w:hAnsi="Geomanist"/>
        </w:rPr>
        <w:t>a suma de las penas convencionales no deberá exceder el importe de la garantía de cumplimiento del contrato.</w:t>
      </w:r>
    </w:p>
    <w:p w14:paraId="04258F14" w14:textId="77777777" w:rsidR="00BF5904" w:rsidRPr="00BF5904" w:rsidRDefault="00BF5904" w:rsidP="00BF5904">
      <w:pPr>
        <w:pStyle w:val="Prrafodelista"/>
        <w:spacing w:after="200" w:line="240" w:lineRule="auto"/>
        <w:jc w:val="both"/>
        <w:rPr>
          <w:rFonts w:ascii="Geomanist" w:hAnsi="Geomanist"/>
          <w:color w:val="000000"/>
        </w:rPr>
      </w:pPr>
    </w:p>
    <w:p w14:paraId="2FEE9722" w14:textId="77777777" w:rsidR="00BF5904" w:rsidRPr="00BF5904" w:rsidRDefault="00BF5904" w:rsidP="00BF5904">
      <w:pPr>
        <w:pStyle w:val="Prrafodelista"/>
        <w:spacing w:after="200" w:line="240" w:lineRule="auto"/>
        <w:ind w:left="426"/>
        <w:jc w:val="both"/>
        <w:rPr>
          <w:rFonts w:ascii="Geomanist" w:hAnsi="Geomanist"/>
          <w:color w:val="000000"/>
        </w:rPr>
      </w:pPr>
      <w:r w:rsidRPr="00BF5904">
        <w:rPr>
          <w:rFonts w:ascii="Geomanist" w:hAnsi="Geomanist"/>
          <w:color w:val="000000"/>
        </w:rPr>
        <w:t>El proveedor autorizará al Instituto a descontar las cantidades que resulten de aplicar la pena convencional, sobre los pagos que deba cubrir al propio proveedor.</w:t>
      </w:r>
    </w:p>
    <w:p w14:paraId="6F28B4E9" w14:textId="77777777" w:rsidR="00BF5904" w:rsidRPr="00BF5904" w:rsidRDefault="00BF5904" w:rsidP="00BF5904">
      <w:pPr>
        <w:pStyle w:val="Prrafodelista"/>
        <w:spacing w:after="200" w:line="240" w:lineRule="auto"/>
        <w:ind w:left="426"/>
        <w:jc w:val="both"/>
        <w:rPr>
          <w:rFonts w:ascii="Geomanist" w:hAnsi="Geomanist"/>
          <w:color w:val="000000"/>
        </w:rPr>
      </w:pPr>
    </w:p>
    <w:p w14:paraId="37CBD0EC" w14:textId="77777777" w:rsidR="00BF5904" w:rsidRDefault="00BF5904" w:rsidP="00BF5904">
      <w:pPr>
        <w:ind w:left="426"/>
        <w:jc w:val="both"/>
        <w:rPr>
          <w:rFonts w:ascii="Geomanist" w:eastAsia="Calibri" w:hAnsi="Geomanist"/>
          <w:sz w:val="22"/>
          <w:szCs w:val="22"/>
        </w:rPr>
      </w:pPr>
      <w:r w:rsidRPr="00BF5904">
        <w:rPr>
          <w:rFonts w:ascii="Geomanist" w:eastAsia="Calibri" w:hAnsi="Geomanist"/>
          <w:b/>
          <w:sz w:val="22"/>
          <w:szCs w:val="22"/>
        </w:rPr>
        <w:lastRenderedPageBreak/>
        <w:t>DEDUCTIVAS.</w:t>
      </w:r>
      <w:r w:rsidRPr="00BF5904">
        <w:rPr>
          <w:rFonts w:ascii="Geomanist" w:eastAsia="Calibri" w:hAnsi="Geomanist"/>
          <w:sz w:val="22"/>
          <w:szCs w:val="22"/>
        </w:rPr>
        <w:t xml:space="preserve"> Con fundamento en el artículo 53 Bis de la Ley de Adquisiciones, Arrendamiento y Servicios del Sector Público, 97 del Reglamento de la Ley de la materia y el numeral 5.5.8.1 de la POBALINES, “EL PROVEDOR” será sujeto a la aplicación de las deductivas en caso de incumplimiento: </w:t>
      </w:r>
    </w:p>
    <w:p w14:paraId="1398C982" w14:textId="77777777" w:rsidR="00BF5904" w:rsidRPr="00BF5904" w:rsidRDefault="00BF5904" w:rsidP="00BF5904">
      <w:pPr>
        <w:ind w:left="426"/>
        <w:jc w:val="both"/>
        <w:rPr>
          <w:rFonts w:ascii="Geomanist" w:eastAsia="Calibri" w:hAnsi="Geomanist"/>
          <w:sz w:val="22"/>
          <w:szCs w:val="22"/>
        </w:rPr>
      </w:pPr>
    </w:p>
    <w:tbl>
      <w:tblPr>
        <w:tblStyle w:val="Tablaconcuadrcula"/>
        <w:tblW w:w="0" w:type="auto"/>
        <w:tblInd w:w="534" w:type="dxa"/>
        <w:tblLook w:val="04A0" w:firstRow="1" w:lastRow="0" w:firstColumn="1" w:lastColumn="0" w:noHBand="0" w:noVBand="1"/>
      </w:tblPr>
      <w:tblGrid>
        <w:gridCol w:w="1341"/>
        <w:gridCol w:w="1149"/>
        <w:gridCol w:w="1215"/>
        <w:gridCol w:w="1119"/>
        <w:gridCol w:w="1514"/>
        <w:gridCol w:w="1513"/>
        <w:gridCol w:w="1329"/>
      </w:tblGrid>
      <w:tr w:rsidR="00BF5904" w:rsidRPr="00BF5904" w14:paraId="1ACECAEE" w14:textId="77777777" w:rsidTr="00BF5904">
        <w:tc>
          <w:tcPr>
            <w:tcW w:w="0" w:type="auto"/>
            <w:gridSpan w:val="7"/>
            <w:shd w:val="clear" w:color="auto" w:fill="D9D9D9" w:themeFill="background1" w:themeFillShade="D9"/>
          </w:tcPr>
          <w:p w14:paraId="211AC39B" w14:textId="77777777" w:rsidR="00BF5904" w:rsidRPr="00BF5904" w:rsidRDefault="00BF5904" w:rsidP="00C75A79">
            <w:pPr>
              <w:jc w:val="center"/>
              <w:rPr>
                <w:rFonts w:ascii="Geomanist" w:eastAsia="Montserrat" w:hAnsi="Geomanist"/>
                <w:b/>
                <w:sz w:val="18"/>
                <w:szCs w:val="18"/>
              </w:rPr>
            </w:pPr>
            <w:r w:rsidRPr="00BF5904">
              <w:rPr>
                <w:rFonts w:ascii="Geomanist" w:eastAsia="Montserrat" w:hAnsi="Geomanist"/>
                <w:b/>
                <w:sz w:val="18"/>
                <w:szCs w:val="18"/>
              </w:rPr>
              <w:t>Criterios para la aplicación de deductivas</w:t>
            </w:r>
          </w:p>
        </w:tc>
      </w:tr>
      <w:tr w:rsidR="00BF5904" w:rsidRPr="00BF5904" w14:paraId="4EC0D142" w14:textId="77777777" w:rsidTr="00BF5904">
        <w:tc>
          <w:tcPr>
            <w:tcW w:w="0" w:type="auto"/>
            <w:shd w:val="clear" w:color="auto" w:fill="D9D9D9" w:themeFill="background1" w:themeFillShade="D9"/>
          </w:tcPr>
          <w:p w14:paraId="0A4BDA17" w14:textId="77777777" w:rsidR="00BF5904" w:rsidRPr="00BF5904" w:rsidRDefault="00BF5904" w:rsidP="00C75A79">
            <w:pPr>
              <w:jc w:val="center"/>
              <w:rPr>
                <w:rFonts w:ascii="Geomanist" w:eastAsia="Montserrat" w:hAnsi="Geomanist"/>
                <w:b/>
                <w:sz w:val="18"/>
                <w:szCs w:val="18"/>
              </w:rPr>
            </w:pPr>
            <w:r w:rsidRPr="00BF5904">
              <w:rPr>
                <w:rFonts w:ascii="Geomanist" w:eastAsia="Montserrat" w:hAnsi="Geomanist"/>
                <w:b/>
                <w:sz w:val="18"/>
                <w:szCs w:val="18"/>
              </w:rPr>
              <w:t>Concepto u obligación</w:t>
            </w:r>
          </w:p>
        </w:tc>
        <w:tc>
          <w:tcPr>
            <w:tcW w:w="0" w:type="auto"/>
            <w:shd w:val="clear" w:color="auto" w:fill="D9D9D9" w:themeFill="background1" w:themeFillShade="D9"/>
          </w:tcPr>
          <w:p w14:paraId="1AFA5EBA" w14:textId="77777777" w:rsidR="00BF5904" w:rsidRPr="00BF5904" w:rsidRDefault="00BF5904" w:rsidP="00C75A79">
            <w:pPr>
              <w:jc w:val="center"/>
              <w:rPr>
                <w:rFonts w:ascii="Geomanist" w:eastAsia="Montserrat" w:hAnsi="Geomanist"/>
                <w:b/>
                <w:sz w:val="18"/>
                <w:szCs w:val="18"/>
              </w:rPr>
            </w:pPr>
            <w:r w:rsidRPr="00BF5904">
              <w:rPr>
                <w:rFonts w:ascii="Geomanist" w:eastAsia="Montserrat" w:hAnsi="Geomanist"/>
                <w:b/>
                <w:sz w:val="18"/>
                <w:szCs w:val="18"/>
              </w:rPr>
              <w:t>Nivel de Servicio</w:t>
            </w:r>
          </w:p>
        </w:tc>
        <w:tc>
          <w:tcPr>
            <w:tcW w:w="0" w:type="auto"/>
            <w:shd w:val="clear" w:color="auto" w:fill="D9D9D9" w:themeFill="background1" w:themeFillShade="D9"/>
          </w:tcPr>
          <w:p w14:paraId="1210CC28" w14:textId="77777777" w:rsidR="00BF5904" w:rsidRPr="00BF5904" w:rsidRDefault="00BF5904" w:rsidP="00C75A79">
            <w:pPr>
              <w:jc w:val="center"/>
              <w:rPr>
                <w:rFonts w:ascii="Geomanist" w:eastAsia="Montserrat" w:hAnsi="Geomanist"/>
                <w:b/>
                <w:sz w:val="18"/>
                <w:szCs w:val="18"/>
              </w:rPr>
            </w:pPr>
            <w:r w:rsidRPr="00BF5904">
              <w:rPr>
                <w:rFonts w:ascii="Geomanist" w:eastAsia="Montserrat" w:hAnsi="Geomanist"/>
                <w:b/>
                <w:sz w:val="18"/>
                <w:szCs w:val="18"/>
              </w:rPr>
              <w:t>Unidad de Medida</w:t>
            </w:r>
          </w:p>
        </w:tc>
        <w:tc>
          <w:tcPr>
            <w:tcW w:w="0" w:type="auto"/>
            <w:shd w:val="clear" w:color="auto" w:fill="D9D9D9" w:themeFill="background1" w:themeFillShade="D9"/>
          </w:tcPr>
          <w:p w14:paraId="2974D20E" w14:textId="77777777" w:rsidR="00BF5904" w:rsidRPr="00BF5904" w:rsidRDefault="00BF5904" w:rsidP="00C75A79">
            <w:pPr>
              <w:jc w:val="center"/>
              <w:rPr>
                <w:rFonts w:ascii="Geomanist" w:eastAsia="Montserrat" w:hAnsi="Geomanist"/>
                <w:b/>
                <w:sz w:val="18"/>
                <w:szCs w:val="18"/>
              </w:rPr>
            </w:pPr>
            <w:r w:rsidRPr="00BF5904">
              <w:rPr>
                <w:rFonts w:ascii="Geomanist" w:eastAsia="Montserrat" w:hAnsi="Geomanist"/>
                <w:b/>
                <w:sz w:val="18"/>
                <w:szCs w:val="18"/>
              </w:rPr>
              <w:t>Deducción</w:t>
            </w:r>
          </w:p>
        </w:tc>
        <w:tc>
          <w:tcPr>
            <w:tcW w:w="0" w:type="auto"/>
            <w:shd w:val="clear" w:color="auto" w:fill="D9D9D9" w:themeFill="background1" w:themeFillShade="D9"/>
          </w:tcPr>
          <w:p w14:paraId="01AB2D6B" w14:textId="77777777" w:rsidR="00BF5904" w:rsidRPr="00BF5904" w:rsidRDefault="00BF5904" w:rsidP="00C75A79">
            <w:pPr>
              <w:jc w:val="center"/>
              <w:rPr>
                <w:rFonts w:ascii="Geomanist" w:eastAsia="Montserrat" w:hAnsi="Geomanist"/>
                <w:b/>
                <w:sz w:val="18"/>
                <w:szCs w:val="18"/>
              </w:rPr>
            </w:pPr>
            <w:r w:rsidRPr="00BF5904">
              <w:rPr>
                <w:rFonts w:ascii="Geomanist" w:eastAsia="Montserrat" w:hAnsi="Geomanist"/>
                <w:b/>
                <w:sz w:val="18"/>
                <w:szCs w:val="18"/>
              </w:rPr>
              <w:t>Límite de incumplimiento</w:t>
            </w:r>
          </w:p>
        </w:tc>
        <w:tc>
          <w:tcPr>
            <w:tcW w:w="0" w:type="auto"/>
            <w:shd w:val="clear" w:color="auto" w:fill="D9D9D9" w:themeFill="background1" w:themeFillShade="D9"/>
          </w:tcPr>
          <w:p w14:paraId="1EFA1C8B" w14:textId="77777777" w:rsidR="00BF5904" w:rsidRPr="00BF5904" w:rsidRDefault="00BF5904" w:rsidP="00C75A79">
            <w:pPr>
              <w:jc w:val="center"/>
              <w:rPr>
                <w:rFonts w:ascii="Geomanist" w:eastAsia="Montserrat" w:hAnsi="Geomanist"/>
                <w:b/>
                <w:sz w:val="18"/>
                <w:szCs w:val="18"/>
              </w:rPr>
            </w:pPr>
            <w:r w:rsidRPr="00BF5904">
              <w:rPr>
                <w:rFonts w:ascii="Geomanist" w:eastAsia="Montserrat" w:hAnsi="Geomanist"/>
                <w:b/>
                <w:sz w:val="18"/>
                <w:szCs w:val="18"/>
              </w:rPr>
              <w:t>Responsable de reportar el incumplimiento</w:t>
            </w:r>
          </w:p>
        </w:tc>
        <w:tc>
          <w:tcPr>
            <w:tcW w:w="0" w:type="auto"/>
            <w:shd w:val="clear" w:color="auto" w:fill="D9D9D9" w:themeFill="background1" w:themeFillShade="D9"/>
          </w:tcPr>
          <w:p w14:paraId="7C25BC96" w14:textId="77777777" w:rsidR="00BF5904" w:rsidRPr="00BF5904" w:rsidRDefault="00BF5904" w:rsidP="00C75A79">
            <w:pPr>
              <w:jc w:val="center"/>
              <w:rPr>
                <w:rFonts w:ascii="Geomanist" w:eastAsia="Montserrat" w:hAnsi="Geomanist"/>
                <w:sz w:val="18"/>
                <w:szCs w:val="18"/>
              </w:rPr>
            </w:pPr>
            <w:r w:rsidRPr="00BF5904">
              <w:rPr>
                <w:rFonts w:ascii="Geomanist" w:eastAsia="Montserrat" w:hAnsi="Geomanist"/>
                <w:b/>
                <w:sz w:val="18"/>
                <w:szCs w:val="18"/>
              </w:rPr>
              <w:t>Responsable del cálculo, notificación  de la deducción</w:t>
            </w:r>
          </w:p>
        </w:tc>
      </w:tr>
      <w:tr w:rsidR="00BF5904" w:rsidRPr="00BF5904" w14:paraId="16770896" w14:textId="77777777" w:rsidTr="00BF5904">
        <w:trPr>
          <w:trHeight w:val="3074"/>
        </w:trPr>
        <w:tc>
          <w:tcPr>
            <w:tcW w:w="0" w:type="auto"/>
          </w:tcPr>
          <w:p w14:paraId="5628BA1A" w14:textId="59945D2A" w:rsidR="00BF5904" w:rsidRPr="00BF5904" w:rsidRDefault="00BF5904" w:rsidP="009E2215">
            <w:pPr>
              <w:jc w:val="both"/>
              <w:rPr>
                <w:rFonts w:ascii="Geomanist" w:eastAsia="Montserrat" w:hAnsi="Geomanist"/>
                <w:sz w:val="18"/>
                <w:szCs w:val="18"/>
              </w:rPr>
            </w:pPr>
            <w:r w:rsidRPr="00BF5904">
              <w:rPr>
                <w:rFonts w:ascii="Geomanist" w:eastAsia="Montserrat" w:hAnsi="Geomanist"/>
                <w:sz w:val="18"/>
                <w:szCs w:val="18"/>
              </w:rPr>
              <w:t xml:space="preserve">Cuando no se  repongan los bienes que presenten defectos o vicios ocultos dentro, </w:t>
            </w:r>
            <w:r w:rsidRPr="00BF5904">
              <w:rPr>
                <w:rFonts w:ascii="Geomanist" w:eastAsia="Calibri" w:hAnsi="Geomanist"/>
                <w:sz w:val="18"/>
                <w:szCs w:val="18"/>
              </w:rPr>
              <w:t>de los 10 días hábiles contados a partir del día siguiente al que le sea notificado el canje</w:t>
            </w:r>
            <w:r w:rsidRPr="00BF5904">
              <w:rPr>
                <w:rFonts w:ascii="Geomanist" w:eastAsia="Montserrat" w:hAnsi="Geomanist"/>
                <w:sz w:val="18"/>
                <w:szCs w:val="18"/>
              </w:rPr>
              <w:t xml:space="preserve"> por el Administrador del contrato.</w:t>
            </w:r>
          </w:p>
        </w:tc>
        <w:tc>
          <w:tcPr>
            <w:tcW w:w="0" w:type="auto"/>
          </w:tcPr>
          <w:p w14:paraId="73784B36" w14:textId="04081A17" w:rsidR="00BF5904" w:rsidRPr="00BF5904" w:rsidRDefault="00BF5904" w:rsidP="00C75A79">
            <w:pPr>
              <w:tabs>
                <w:tab w:val="left" w:pos="-108"/>
                <w:tab w:val="left" w:pos="9540"/>
              </w:tabs>
              <w:suppressAutoHyphens/>
              <w:ind w:left="33"/>
              <w:jc w:val="both"/>
              <w:rPr>
                <w:rFonts w:ascii="Geomanist" w:eastAsia="Montserrat" w:hAnsi="Geomanist"/>
                <w:sz w:val="18"/>
                <w:szCs w:val="18"/>
              </w:rPr>
            </w:pPr>
            <w:r w:rsidRPr="00BF5904">
              <w:rPr>
                <w:rFonts w:ascii="Geomanist" w:eastAsia="Montserrat" w:hAnsi="Geomanist"/>
                <w:sz w:val="18"/>
                <w:szCs w:val="18"/>
              </w:rPr>
              <w:t xml:space="preserve">El proveedor adjudicado </w:t>
            </w:r>
            <w:r w:rsidRPr="00BF5904">
              <w:rPr>
                <w:rFonts w:ascii="Geomanist" w:eastAsia="Calibri" w:hAnsi="Geomanist"/>
                <w:sz w:val="18"/>
                <w:szCs w:val="18"/>
              </w:rPr>
              <w:t>dentro de los 10 días hábiles contados a partir del día siguiente al que le fue notificado el canje</w:t>
            </w:r>
            <w:r w:rsidR="009E2215">
              <w:rPr>
                <w:rFonts w:ascii="Geomanist" w:eastAsia="Calibri" w:hAnsi="Geomanist"/>
                <w:sz w:val="18"/>
                <w:szCs w:val="18"/>
              </w:rPr>
              <w:t>.</w:t>
            </w:r>
          </w:p>
        </w:tc>
        <w:tc>
          <w:tcPr>
            <w:tcW w:w="0" w:type="auto"/>
          </w:tcPr>
          <w:p w14:paraId="68EA59AA" w14:textId="77777777" w:rsidR="00BF5904" w:rsidRPr="00BF5904" w:rsidRDefault="00BF5904" w:rsidP="00C75A79">
            <w:pPr>
              <w:jc w:val="both"/>
              <w:rPr>
                <w:rFonts w:ascii="Geomanist" w:eastAsia="Montserrat" w:hAnsi="Geomanist"/>
                <w:sz w:val="18"/>
                <w:szCs w:val="18"/>
              </w:rPr>
            </w:pPr>
            <w:r w:rsidRPr="00BF5904">
              <w:rPr>
                <w:rFonts w:ascii="Geomanist" w:eastAsia="Montserrat" w:hAnsi="Geomanist"/>
                <w:sz w:val="18"/>
                <w:szCs w:val="18"/>
              </w:rPr>
              <w:t>Por cada día natural en el que no repongan los bienes que presenten defectos o vicios ocultos.</w:t>
            </w:r>
          </w:p>
          <w:p w14:paraId="017EC320" w14:textId="77777777" w:rsidR="00BF5904" w:rsidRPr="00BF5904" w:rsidRDefault="00BF5904" w:rsidP="00C75A79">
            <w:pPr>
              <w:jc w:val="both"/>
              <w:rPr>
                <w:rFonts w:ascii="Geomanist" w:eastAsia="Montserrat" w:hAnsi="Geomanist"/>
                <w:sz w:val="18"/>
                <w:szCs w:val="18"/>
              </w:rPr>
            </w:pPr>
            <w:r w:rsidRPr="00BF5904">
              <w:rPr>
                <w:rFonts w:ascii="Geomanist" w:eastAsia="Montserrat" w:hAnsi="Geomanist"/>
                <w:sz w:val="18"/>
                <w:szCs w:val="18"/>
              </w:rPr>
              <w:t>De acuerdo con lo estipulado en el inciso j) apartado CANJE   de los Términos y Condiciones</w:t>
            </w:r>
          </w:p>
        </w:tc>
        <w:tc>
          <w:tcPr>
            <w:tcW w:w="0" w:type="auto"/>
          </w:tcPr>
          <w:p w14:paraId="77105978" w14:textId="1C0FF738" w:rsidR="00BF5904" w:rsidRPr="00BF5904" w:rsidRDefault="00BF5904" w:rsidP="009E2215">
            <w:pPr>
              <w:jc w:val="both"/>
              <w:rPr>
                <w:rFonts w:ascii="Geomanist" w:eastAsia="Montserrat" w:hAnsi="Geomanist"/>
                <w:sz w:val="18"/>
                <w:szCs w:val="18"/>
              </w:rPr>
            </w:pPr>
            <w:r w:rsidRPr="00BF5904">
              <w:rPr>
                <w:rFonts w:ascii="Geomanist" w:eastAsia="Montserrat" w:hAnsi="Geomanist"/>
                <w:sz w:val="18"/>
                <w:szCs w:val="18"/>
              </w:rPr>
              <w:t>0</w:t>
            </w:r>
            <w:r w:rsidR="009E2215">
              <w:rPr>
                <w:rFonts w:ascii="Geomanist" w:eastAsia="Montserrat" w:hAnsi="Geomanist"/>
                <w:sz w:val="18"/>
                <w:szCs w:val="18"/>
              </w:rPr>
              <w:t>.2</w:t>
            </w:r>
            <w:r w:rsidRPr="00BF5904">
              <w:rPr>
                <w:rFonts w:ascii="Geomanist" w:eastAsia="Montserrat" w:hAnsi="Geomanist"/>
                <w:sz w:val="18"/>
                <w:szCs w:val="18"/>
              </w:rPr>
              <w:t xml:space="preserve">% sobre el valor total de la factura, con IVA incluido. </w:t>
            </w:r>
          </w:p>
        </w:tc>
        <w:tc>
          <w:tcPr>
            <w:tcW w:w="0" w:type="auto"/>
          </w:tcPr>
          <w:p w14:paraId="49454F4C" w14:textId="29CE8291" w:rsidR="00BF5904" w:rsidRPr="00BF5904" w:rsidRDefault="00BF5904" w:rsidP="00C75A79">
            <w:pPr>
              <w:jc w:val="both"/>
              <w:rPr>
                <w:rFonts w:ascii="Geomanist" w:eastAsia="Montserrat" w:hAnsi="Geomanist"/>
                <w:sz w:val="18"/>
                <w:szCs w:val="18"/>
              </w:rPr>
            </w:pPr>
            <w:r w:rsidRPr="00BF5904">
              <w:rPr>
                <w:rFonts w:ascii="Geomanist" w:eastAsia="Montserrat" w:hAnsi="Geomanist"/>
                <w:sz w:val="18"/>
                <w:szCs w:val="18"/>
              </w:rPr>
              <w:t>Hasta el 1% del monto total del contrato, considerando el I.V.A</w:t>
            </w:r>
          </w:p>
        </w:tc>
        <w:tc>
          <w:tcPr>
            <w:tcW w:w="0" w:type="auto"/>
          </w:tcPr>
          <w:p w14:paraId="030001FC" w14:textId="66F84AB8" w:rsidR="00BF5904" w:rsidRPr="00BF5904" w:rsidRDefault="00BF5904" w:rsidP="009E2215">
            <w:pPr>
              <w:jc w:val="both"/>
              <w:rPr>
                <w:rFonts w:ascii="Geomanist" w:eastAsia="Montserrat" w:hAnsi="Geomanist"/>
                <w:sz w:val="18"/>
                <w:szCs w:val="18"/>
              </w:rPr>
            </w:pPr>
            <w:r w:rsidRPr="00BF5904">
              <w:rPr>
                <w:rFonts w:ascii="Geomanist" w:eastAsia="Montserrat" w:hAnsi="Geomanist"/>
                <w:sz w:val="18"/>
                <w:szCs w:val="18"/>
              </w:rPr>
              <w:t xml:space="preserve">El </w:t>
            </w:r>
            <w:r w:rsidR="009E2215">
              <w:rPr>
                <w:rFonts w:ascii="Geomanist" w:eastAsia="Montserrat" w:hAnsi="Geomanist"/>
                <w:sz w:val="18"/>
                <w:szCs w:val="18"/>
              </w:rPr>
              <w:t>Á</w:t>
            </w:r>
            <w:r w:rsidRPr="00BF5904">
              <w:rPr>
                <w:rFonts w:ascii="Geomanist" w:eastAsia="Montserrat" w:hAnsi="Geomanist"/>
                <w:sz w:val="18"/>
                <w:szCs w:val="18"/>
              </w:rPr>
              <w:t xml:space="preserve">rea </w:t>
            </w:r>
            <w:r w:rsidR="009E2215">
              <w:rPr>
                <w:rFonts w:ascii="Geomanist" w:eastAsia="Montserrat" w:hAnsi="Geomanist"/>
                <w:sz w:val="18"/>
                <w:szCs w:val="18"/>
              </w:rPr>
              <w:t>R</w:t>
            </w:r>
            <w:r w:rsidRPr="00BF5904">
              <w:rPr>
                <w:rFonts w:ascii="Geomanist" w:eastAsia="Montserrat" w:hAnsi="Geomanist"/>
                <w:sz w:val="18"/>
                <w:szCs w:val="18"/>
              </w:rPr>
              <w:t>equirente notificara al proveedor por escrito</w:t>
            </w:r>
            <w:r w:rsidR="009E2215">
              <w:rPr>
                <w:rFonts w:ascii="Geomanist" w:eastAsia="Montserrat" w:hAnsi="Geomanist"/>
                <w:sz w:val="18"/>
                <w:szCs w:val="18"/>
              </w:rPr>
              <w:t>.</w:t>
            </w:r>
            <w:r w:rsidRPr="00BF5904">
              <w:rPr>
                <w:rFonts w:ascii="Geomanist" w:eastAsia="Montserrat" w:hAnsi="Geomanist"/>
                <w:sz w:val="18"/>
                <w:szCs w:val="18"/>
              </w:rPr>
              <w:t xml:space="preserve"> </w:t>
            </w:r>
          </w:p>
        </w:tc>
        <w:tc>
          <w:tcPr>
            <w:tcW w:w="0" w:type="auto"/>
          </w:tcPr>
          <w:p w14:paraId="3258DF30" w14:textId="77777777" w:rsidR="00BF5904" w:rsidRPr="00BF5904" w:rsidRDefault="00BF5904" w:rsidP="00C75A79">
            <w:pPr>
              <w:jc w:val="both"/>
              <w:rPr>
                <w:rFonts w:ascii="Geomanist" w:eastAsia="Montserrat" w:hAnsi="Geomanist"/>
                <w:sz w:val="18"/>
                <w:szCs w:val="18"/>
              </w:rPr>
            </w:pPr>
            <w:r w:rsidRPr="00BF5904">
              <w:rPr>
                <w:rFonts w:ascii="Geomanist" w:eastAsia="Montserrat" w:hAnsi="Geomanist"/>
                <w:sz w:val="18"/>
                <w:szCs w:val="18"/>
              </w:rPr>
              <w:t xml:space="preserve">Administrador del Contrato </w:t>
            </w:r>
          </w:p>
        </w:tc>
      </w:tr>
    </w:tbl>
    <w:p w14:paraId="6F912C4B" w14:textId="77777777" w:rsidR="00BF5904" w:rsidRPr="00BF5904" w:rsidRDefault="00BF5904" w:rsidP="00BF5904">
      <w:pPr>
        <w:jc w:val="both"/>
        <w:rPr>
          <w:rFonts w:ascii="Geomanist" w:hAnsi="Geomanist"/>
          <w:color w:val="000000"/>
          <w:sz w:val="22"/>
          <w:szCs w:val="22"/>
        </w:rPr>
      </w:pPr>
    </w:p>
    <w:p w14:paraId="2F5D363A" w14:textId="2CF98382" w:rsidR="00BF5904" w:rsidRPr="00BF5904" w:rsidRDefault="00BF5904" w:rsidP="00BF5904">
      <w:pPr>
        <w:pStyle w:val="Prrafodelista"/>
        <w:numPr>
          <w:ilvl w:val="0"/>
          <w:numId w:val="11"/>
        </w:numPr>
        <w:spacing w:after="200" w:line="240" w:lineRule="auto"/>
        <w:jc w:val="both"/>
        <w:rPr>
          <w:rFonts w:ascii="Geomanist" w:hAnsi="Geomanist"/>
        </w:rPr>
      </w:pPr>
      <w:r w:rsidRPr="00BF5904">
        <w:rPr>
          <w:rFonts w:ascii="Geomanist" w:hAnsi="Geomanist" w:cs="Arial"/>
          <w:b/>
        </w:rPr>
        <w:t xml:space="preserve">EN SU CASO, MECANISMOS REQUERIDOS AL PROVEEDOR PARA RESPONDER POR DEFECTOS O VICIOS OCULTOS DE LOS BIENES O DE LA CALIDAD DE LOS SERVICIO. </w:t>
      </w:r>
      <w:r w:rsidRPr="00BF5904">
        <w:rPr>
          <w:rFonts w:ascii="Geomanist" w:hAnsi="Geomanist"/>
          <w:b/>
        </w:rPr>
        <w:t xml:space="preserve"> </w:t>
      </w:r>
      <w:r w:rsidRPr="00BF5904">
        <w:rPr>
          <w:rFonts w:ascii="Geomanist" w:hAnsi="Geomanist"/>
        </w:rPr>
        <w:t>El proveedor deberá entregar junto con los bienes, una garantía de fabricación con cobertura amplia de 12 meses contados a partir de la fecha de entrega del bien, contra vicios ocultos, defectos de fabricación o cualquier daño que presenten los bienes, la cual deberá entregar a la Jefa del Bioterio dependiente de la Coordinación de Investigación en Salud</w:t>
      </w:r>
      <w:r w:rsidR="009E2215">
        <w:rPr>
          <w:rFonts w:ascii="Geomanist" w:hAnsi="Geomanist"/>
        </w:rPr>
        <w:t xml:space="preserve">, persona designada por el Administrador del Contrato, dicha garantía deberá entregarse </w:t>
      </w:r>
      <w:r w:rsidRPr="00BF5904">
        <w:rPr>
          <w:rFonts w:ascii="Geomanist" w:hAnsi="Geomanist"/>
        </w:rPr>
        <w:t xml:space="preserve"> por escrito en papel preferentemente membretado, debidamente firmada por el representante legal de éste y a entera satisfacción del Instituto.</w:t>
      </w:r>
    </w:p>
    <w:p w14:paraId="25F62803" w14:textId="77777777" w:rsidR="00BF5904" w:rsidRPr="00BF5904" w:rsidRDefault="00BF5904" w:rsidP="00BF5904">
      <w:pPr>
        <w:pStyle w:val="Prrafodelista"/>
        <w:tabs>
          <w:tab w:val="left" w:pos="426"/>
        </w:tabs>
        <w:suppressAutoHyphens/>
        <w:spacing w:after="200" w:line="240" w:lineRule="auto"/>
        <w:ind w:left="709"/>
        <w:jc w:val="both"/>
        <w:rPr>
          <w:rFonts w:ascii="Geomanist" w:hAnsi="Geomanist"/>
          <w:b/>
        </w:rPr>
      </w:pPr>
    </w:p>
    <w:p w14:paraId="6F69C5DE" w14:textId="2B8BE900" w:rsidR="00BF5904" w:rsidRPr="00BF5904" w:rsidRDefault="00BF5904" w:rsidP="00BF5904">
      <w:pPr>
        <w:pStyle w:val="Prrafodelista"/>
        <w:spacing w:after="200" w:line="240" w:lineRule="auto"/>
        <w:ind w:left="426"/>
        <w:jc w:val="both"/>
        <w:rPr>
          <w:rFonts w:ascii="Geomanist" w:eastAsia="Calibri" w:hAnsi="Geomanist"/>
        </w:rPr>
      </w:pPr>
      <w:r w:rsidRPr="00BF5904">
        <w:rPr>
          <w:rFonts w:ascii="Geomanist" w:eastAsia="Calibri" w:hAnsi="Geomanist"/>
        </w:rPr>
        <w:t>Lo anterior, de conformidad con los señalado en el numeral 4.2.7 del MAAGAASSP, los artículos 45, fracción XVII, y 53, segundo párrafo de la LAASSP, así como el segundo párrafo del artículo 96 del RLAASSP, en concordancia con lo establecido en los artículos 1, 6, así como del 77al 84 de la Ley Federal de Protección al Consumidor.”</w:t>
      </w:r>
    </w:p>
    <w:p w14:paraId="47D8BA21" w14:textId="77777777" w:rsidR="00BF5904" w:rsidRDefault="00BF5904" w:rsidP="00BF5904">
      <w:pPr>
        <w:ind w:left="426" w:right="66"/>
        <w:jc w:val="both"/>
        <w:rPr>
          <w:rFonts w:ascii="Geomanist" w:eastAsia="Calibri" w:hAnsi="Geomanist"/>
          <w:i/>
          <w:sz w:val="22"/>
          <w:szCs w:val="22"/>
        </w:rPr>
      </w:pPr>
      <w:r w:rsidRPr="00BF5904">
        <w:rPr>
          <w:rFonts w:ascii="Geomanist" w:eastAsia="Calibri" w:hAnsi="Geomanist"/>
          <w:sz w:val="22"/>
          <w:szCs w:val="22"/>
        </w:rPr>
        <w:t xml:space="preserve">Lo anterior con fundamento en lo establecido en la normatividad indica en dicho párrafo y, particularmente, en el artículo 6 de la Ley Federal de Protección al   Consumidor, que señala de manera </w:t>
      </w:r>
      <w:r w:rsidRPr="00BF5904">
        <w:rPr>
          <w:rFonts w:ascii="Geomanist" w:eastAsia="Calibri" w:hAnsi="Geomanist"/>
          <w:i/>
          <w:sz w:val="22"/>
          <w:szCs w:val="22"/>
        </w:rPr>
        <w:t xml:space="preserve">textual "Estarán obligados al cumplimiento de esta ley los proveedores y los </w:t>
      </w:r>
      <w:r w:rsidRPr="00BF5904">
        <w:rPr>
          <w:rFonts w:ascii="Geomanist" w:eastAsia="Calibri" w:hAnsi="Geomanist"/>
          <w:i/>
          <w:sz w:val="22"/>
          <w:szCs w:val="22"/>
        </w:rPr>
        <w:lastRenderedPageBreak/>
        <w:t>consumidores. Las entidades de las administraciones  públicas  federal, estatal, municipal y del gobierno del Distrito Federal, están obligadas en cuanto tengan el carácter de proveedores o consumidores". Lo anterior de conformidad con lo señalado en el numeral 4.2.7 del MAAG, los artículos 45, fracción XVII y 53 segundo párrafo de la Ley de Adquisiciones, Arrendamientos y Servicios del Sector Públicos así como el segundo párrafo del artículo 96 del RLAASSP, en concordancia con lo establecido en los artículos 1, 6, así como del 77 al 84 de la Ley Federal de Protección al Consumidor.</w:t>
      </w:r>
    </w:p>
    <w:p w14:paraId="07C2C2C3" w14:textId="77777777" w:rsidR="00A33AF1" w:rsidRPr="00BF5904" w:rsidRDefault="00A33AF1" w:rsidP="00BF5904">
      <w:pPr>
        <w:ind w:left="426" w:right="66"/>
        <w:jc w:val="both"/>
        <w:rPr>
          <w:rFonts w:ascii="Geomanist" w:eastAsia="Calibri" w:hAnsi="Geomanist"/>
          <w:i/>
          <w:sz w:val="22"/>
          <w:szCs w:val="22"/>
        </w:rPr>
      </w:pPr>
    </w:p>
    <w:p w14:paraId="60694DCA" w14:textId="77777777" w:rsidR="00BF5904" w:rsidRPr="00BF5904" w:rsidRDefault="00BF5904" w:rsidP="00BF5904">
      <w:pPr>
        <w:pStyle w:val="Prrafodelista"/>
        <w:numPr>
          <w:ilvl w:val="0"/>
          <w:numId w:val="11"/>
        </w:numPr>
        <w:autoSpaceDE w:val="0"/>
        <w:autoSpaceDN w:val="0"/>
        <w:adjustRightInd w:val="0"/>
        <w:jc w:val="both"/>
        <w:rPr>
          <w:rFonts w:ascii="Geomanist" w:hAnsi="Geomanist"/>
        </w:rPr>
      </w:pPr>
      <w:r w:rsidRPr="00BF5904">
        <w:rPr>
          <w:rFonts w:ascii="Geomanist" w:hAnsi="Geomanist"/>
          <w:b/>
        </w:rPr>
        <w:t>LAS GARANTÍAS DE ANTICIPO Y CUMPLIMIENTO, DEBERAN DE APEGARSE AL NUMERAL 4.30.1, PENULTIMO PARRAFO DE ESTAS POBALINES, ASÍ COMO LA CALIDAD DE SERVICIOS Y DE OPERACIÓN Y FUNCIONAMIENTO QUE EN SU CASO APLIQUE, LAS CUALES DEBEN INDICAR SEGÚN SEA EL CASO:</w:t>
      </w:r>
      <w:r w:rsidRPr="00BF5904">
        <w:rPr>
          <w:rFonts w:ascii="Geomanist" w:hAnsi="Geomanist"/>
        </w:rPr>
        <w:t xml:space="preserve"> </w:t>
      </w:r>
    </w:p>
    <w:p w14:paraId="42DA3B5D" w14:textId="77777777" w:rsidR="00BF5904" w:rsidRPr="00BF5904" w:rsidRDefault="00BF5904" w:rsidP="00BF5904">
      <w:pPr>
        <w:pStyle w:val="Prrafodelista"/>
        <w:autoSpaceDE w:val="0"/>
        <w:autoSpaceDN w:val="0"/>
        <w:adjustRightInd w:val="0"/>
        <w:ind w:left="360"/>
        <w:jc w:val="both"/>
        <w:rPr>
          <w:rFonts w:ascii="Geomanist" w:hAnsi="Geomanist"/>
        </w:rPr>
      </w:pPr>
      <w:r w:rsidRPr="00BF5904">
        <w:rPr>
          <w:rFonts w:ascii="Geomanist" w:hAnsi="Geomanist"/>
        </w:rPr>
        <w:t xml:space="preserve"> </w:t>
      </w:r>
    </w:p>
    <w:p w14:paraId="492437BA" w14:textId="31766DAF" w:rsidR="00BF5904" w:rsidRPr="00BF5904" w:rsidRDefault="00BF5904" w:rsidP="00BF5904">
      <w:pPr>
        <w:pStyle w:val="Prrafodelista"/>
        <w:tabs>
          <w:tab w:val="left" w:pos="284"/>
        </w:tabs>
        <w:autoSpaceDE w:val="0"/>
        <w:autoSpaceDN w:val="0"/>
        <w:adjustRightInd w:val="0"/>
        <w:ind w:left="360"/>
        <w:jc w:val="both"/>
        <w:rPr>
          <w:rFonts w:ascii="Geomanist" w:hAnsi="Geomanist"/>
        </w:rPr>
      </w:pPr>
      <w:r w:rsidRPr="00BF5904">
        <w:rPr>
          <w:rFonts w:ascii="Geomanist" w:eastAsia="Calibri" w:hAnsi="Geomanist"/>
          <w:b/>
        </w:rPr>
        <w:t>Garantía de Cumplimiento.-</w:t>
      </w:r>
      <w:r w:rsidRPr="00BF5904">
        <w:rPr>
          <w:rFonts w:ascii="Geomanist" w:hAnsi="Geomanist"/>
        </w:rPr>
        <w:t xml:space="preserve"> El proveedor se obliga a entregar a más tardar dentro de los 10 (diez) días naturales posteriores a la firma del instrumento jurídico que derive, en términos del artículo 48 de la L</w:t>
      </w:r>
      <w:r w:rsidR="00A33AF1">
        <w:rPr>
          <w:rFonts w:ascii="Geomanist" w:hAnsi="Geomanist"/>
        </w:rPr>
        <w:t>AASSP</w:t>
      </w:r>
      <w:r w:rsidRPr="00BF5904">
        <w:rPr>
          <w:rFonts w:ascii="Geomanist" w:hAnsi="Geomanist"/>
        </w:rPr>
        <w:t xml:space="preserve">, una garantía de cumplimiento de todas y cada una de las obligaciones a su cargo derivadas del presente contrato, mediante fianza expedida por compañía autorizada en los términos de la Ley de Instituciones de Seguros y de Fianzas a favor del </w:t>
      </w:r>
      <w:r w:rsidRPr="00BF5904">
        <w:rPr>
          <w:rFonts w:ascii="Geomanist" w:hAnsi="Geomanist"/>
          <w:b/>
          <w:bCs/>
        </w:rPr>
        <w:t>“Instituto Mexicano del Seguro Social”</w:t>
      </w:r>
      <w:r w:rsidRPr="00BF5904">
        <w:rPr>
          <w:rFonts w:ascii="Geomanist" w:hAnsi="Geomanist"/>
        </w:rPr>
        <w:t xml:space="preserve">, por un monto equivalente al </w:t>
      </w:r>
      <w:r w:rsidRPr="00BF5904">
        <w:rPr>
          <w:rFonts w:ascii="Geomanist" w:hAnsi="Geomanist"/>
          <w:b/>
          <w:bCs/>
        </w:rPr>
        <w:t>10% (diez por ciento)</w:t>
      </w:r>
      <w:r w:rsidRPr="00BF5904">
        <w:rPr>
          <w:rFonts w:ascii="Geomanist" w:hAnsi="Geomanist"/>
          <w:bCs/>
        </w:rPr>
        <w:t>, sobre el importe total contratado,</w:t>
      </w:r>
      <w:r w:rsidRPr="00BF5904">
        <w:rPr>
          <w:rFonts w:ascii="Geomanist" w:hAnsi="Geomanist"/>
        </w:rPr>
        <w:t xml:space="preserve"> sin considerar el Impuesto al Valor Agregado (IVA), en Moneda Nacional. Para tal efecto se anexa el Formato de póliza de fianza de cumplimiento.</w:t>
      </w:r>
    </w:p>
    <w:p w14:paraId="0D7AA55A" w14:textId="0B765DF7" w:rsidR="00BF5904" w:rsidRDefault="00BF5904" w:rsidP="00BF5904">
      <w:pPr>
        <w:ind w:left="426"/>
        <w:jc w:val="both"/>
        <w:rPr>
          <w:rFonts w:ascii="Geomanist" w:hAnsi="Geomanist"/>
          <w:sz w:val="22"/>
          <w:szCs w:val="22"/>
        </w:rPr>
      </w:pPr>
      <w:r w:rsidRPr="00BF5904">
        <w:rPr>
          <w:rFonts w:ascii="Geomanist" w:hAnsi="Geomanist"/>
          <w:bCs/>
          <w:sz w:val="22"/>
          <w:szCs w:val="22"/>
        </w:rPr>
        <w:t>El proveedor</w:t>
      </w:r>
      <w:r w:rsidRPr="00BF5904">
        <w:rPr>
          <w:rFonts w:ascii="Geomanist" w:hAnsi="Geomanist"/>
          <w:sz w:val="22"/>
          <w:szCs w:val="22"/>
        </w:rPr>
        <w:t xml:space="preserve"> queda obligado a entregar a</w:t>
      </w:r>
      <w:r w:rsidRPr="00BF5904">
        <w:rPr>
          <w:rFonts w:ascii="Geomanist" w:hAnsi="Geomanist"/>
          <w:bCs/>
          <w:sz w:val="22"/>
          <w:szCs w:val="22"/>
        </w:rPr>
        <w:t>l Instituto</w:t>
      </w:r>
      <w:r w:rsidRPr="00BF5904">
        <w:rPr>
          <w:rFonts w:ascii="Geomanist" w:hAnsi="Geomanist"/>
          <w:sz w:val="22"/>
          <w:szCs w:val="22"/>
        </w:rPr>
        <w:t xml:space="preserve"> la póliza de fianza antes señalada, en la División de Contratos, ubicada en Calle Durango número 291, 10º piso, Colonia Roma Norte, Alcaldía Cuauhtémoc, Código Postal 06700</w:t>
      </w:r>
      <w:r w:rsidR="007E6A68">
        <w:rPr>
          <w:rFonts w:ascii="Geomanist" w:hAnsi="Geomanist"/>
          <w:sz w:val="22"/>
          <w:szCs w:val="22"/>
        </w:rPr>
        <w:t>,</w:t>
      </w:r>
      <w:r w:rsidRPr="00BF5904">
        <w:rPr>
          <w:rFonts w:ascii="Geomanist" w:hAnsi="Geomanist"/>
          <w:sz w:val="22"/>
          <w:szCs w:val="22"/>
        </w:rPr>
        <w:t xml:space="preserve"> Ciudad de México.</w:t>
      </w:r>
    </w:p>
    <w:p w14:paraId="56FF8527" w14:textId="77777777" w:rsidR="007E6A68" w:rsidRPr="00BF5904" w:rsidRDefault="007E6A68" w:rsidP="00BF5904">
      <w:pPr>
        <w:ind w:left="426"/>
        <w:jc w:val="both"/>
        <w:rPr>
          <w:rFonts w:ascii="Geomanist" w:hAnsi="Geomanist" w:cs="Arial"/>
          <w:sz w:val="22"/>
          <w:szCs w:val="22"/>
        </w:rPr>
      </w:pPr>
    </w:p>
    <w:p w14:paraId="35262BD0" w14:textId="77777777" w:rsidR="00BF5904" w:rsidRDefault="00BF5904" w:rsidP="00BF5904">
      <w:pPr>
        <w:pStyle w:val="Prrafodelista"/>
        <w:tabs>
          <w:tab w:val="left" w:pos="851"/>
        </w:tabs>
        <w:spacing w:after="0" w:line="240" w:lineRule="auto"/>
        <w:ind w:left="426"/>
        <w:jc w:val="both"/>
        <w:rPr>
          <w:rFonts w:ascii="Geomanist" w:eastAsia="Calibri" w:hAnsi="Geomanist"/>
        </w:rPr>
      </w:pPr>
      <w:r w:rsidRPr="00BF5904">
        <w:rPr>
          <w:rFonts w:ascii="Geomanist" w:eastAsia="Calibri" w:hAnsi="Geomanist"/>
        </w:rPr>
        <w:t xml:space="preserve">La garantía de cumplimiento a las obligaciones del contrato se liberará de forma inmediata, mediante autorización por escrito por parte del Instituto, siempre y cuando el proveedor haya cumplido a entera satisfacción con todas las obligaciones contractuales, </w:t>
      </w:r>
      <w:r w:rsidRPr="00BF5904">
        <w:rPr>
          <w:rFonts w:ascii="Geomanist" w:hAnsi="Geomanist"/>
        </w:rPr>
        <w:t>para lo cual deberá presentar mediante escrito la solicitud de liberación de la fianza en la División de Contratos, misma que llevará a cabo el procedimiento para su liberación y entrega</w:t>
      </w:r>
      <w:r w:rsidRPr="00BF5904">
        <w:rPr>
          <w:rFonts w:ascii="Geomanist" w:eastAsia="Calibri" w:hAnsi="Geomanist"/>
        </w:rPr>
        <w:t>.</w:t>
      </w:r>
    </w:p>
    <w:p w14:paraId="23A3FA64" w14:textId="77777777" w:rsidR="007E6A68" w:rsidRPr="00BF5904" w:rsidRDefault="007E6A68" w:rsidP="00BF5904">
      <w:pPr>
        <w:pStyle w:val="Prrafodelista"/>
        <w:tabs>
          <w:tab w:val="left" w:pos="851"/>
        </w:tabs>
        <w:spacing w:after="0" w:line="240" w:lineRule="auto"/>
        <w:ind w:left="426"/>
        <w:jc w:val="both"/>
        <w:rPr>
          <w:rFonts w:ascii="Geomanist" w:eastAsia="Calibri" w:hAnsi="Geomanist"/>
        </w:rPr>
      </w:pPr>
    </w:p>
    <w:p w14:paraId="146B944C" w14:textId="77777777" w:rsidR="00BF5904" w:rsidRPr="00BF5904" w:rsidRDefault="00BF5904" w:rsidP="00BF5904">
      <w:pPr>
        <w:pStyle w:val="Prrafodelista"/>
        <w:tabs>
          <w:tab w:val="left" w:pos="851"/>
        </w:tabs>
        <w:spacing w:after="200" w:line="240" w:lineRule="auto"/>
        <w:ind w:left="426"/>
        <w:jc w:val="both"/>
        <w:rPr>
          <w:rFonts w:ascii="Geomanist" w:eastAsia="Calibri" w:hAnsi="Geomanist"/>
        </w:rPr>
      </w:pPr>
      <w:r w:rsidRPr="00BF5904">
        <w:rPr>
          <w:rFonts w:ascii="Geomanist" w:eastAsia="Calibri" w:hAnsi="Geomanist"/>
        </w:rPr>
        <w:t>Para realizar la liberación de la garantía, corresponde al administrador del contrato, manifestar por escrito y de manera expresa su aceptación, así como, en su caso, cuantificar el finiquito correspondiente, dicho escrito deberá ser dirigido a la División de Contratos de la Coordinación de Adquisición de Bienes y Contratación de Servicios.</w:t>
      </w:r>
    </w:p>
    <w:p w14:paraId="7E24D0E4" w14:textId="77777777" w:rsidR="00BF5904" w:rsidRPr="00BF5904" w:rsidRDefault="00BF5904" w:rsidP="00BF5904">
      <w:pPr>
        <w:pStyle w:val="Prrafodelista"/>
        <w:tabs>
          <w:tab w:val="left" w:pos="851"/>
        </w:tabs>
        <w:spacing w:after="200" w:line="240" w:lineRule="auto"/>
        <w:ind w:left="426"/>
        <w:jc w:val="both"/>
        <w:rPr>
          <w:rFonts w:ascii="Geomanist" w:eastAsia="Calibri" w:hAnsi="Geomanist"/>
        </w:rPr>
      </w:pPr>
    </w:p>
    <w:p w14:paraId="656EBE40" w14:textId="2A736172" w:rsidR="00BF5904" w:rsidRPr="00BF5904" w:rsidRDefault="00BF5904" w:rsidP="00BF5904">
      <w:pPr>
        <w:pStyle w:val="Prrafodelista"/>
        <w:tabs>
          <w:tab w:val="left" w:pos="851"/>
        </w:tabs>
        <w:spacing w:after="0" w:line="240" w:lineRule="auto"/>
        <w:ind w:left="426"/>
        <w:jc w:val="both"/>
        <w:rPr>
          <w:rFonts w:ascii="Geomanist" w:eastAsia="Calibri" w:hAnsi="Geomanist"/>
        </w:rPr>
      </w:pPr>
      <w:r w:rsidRPr="00BF5904">
        <w:rPr>
          <w:rFonts w:ascii="Geomanist" w:eastAsia="Calibri" w:hAnsi="Geomanist"/>
        </w:rPr>
        <w:t>Las obligaciones derivadas del contrato que en su caso se formalice son divisibles, por lo que en caso de incumplimiento del proveedor</w:t>
      </w:r>
      <w:r w:rsidR="005E706E">
        <w:rPr>
          <w:rFonts w:ascii="Geomanist" w:eastAsia="Calibri" w:hAnsi="Geomanist"/>
        </w:rPr>
        <w:t>,</w:t>
      </w:r>
      <w:r w:rsidRPr="00BF5904">
        <w:rPr>
          <w:rFonts w:ascii="Geomanist" w:eastAsia="Calibri" w:hAnsi="Geomanist"/>
        </w:rPr>
        <w:t xml:space="preserve"> la garantía de cumplimiento del contrato se ejecutará de manera proporcional al monto de lo incumplido.</w:t>
      </w:r>
    </w:p>
    <w:p w14:paraId="64858E2A" w14:textId="77777777" w:rsidR="00BF5904" w:rsidRPr="00BF5904" w:rsidRDefault="00BF5904" w:rsidP="00BF5904">
      <w:pPr>
        <w:pStyle w:val="Prrafodelista"/>
        <w:tabs>
          <w:tab w:val="left" w:pos="851"/>
        </w:tabs>
        <w:spacing w:after="0" w:line="240" w:lineRule="auto"/>
        <w:ind w:left="426"/>
        <w:jc w:val="both"/>
        <w:rPr>
          <w:rFonts w:ascii="Geomanist" w:hAnsi="Geomanist"/>
        </w:rPr>
      </w:pPr>
    </w:p>
    <w:p w14:paraId="72ABD731" w14:textId="77777777" w:rsidR="00BF5904" w:rsidRPr="00BF5904" w:rsidRDefault="00BF5904" w:rsidP="00BF5904">
      <w:pPr>
        <w:ind w:left="426"/>
        <w:jc w:val="both"/>
        <w:rPr>
          <w:rFonts w:ascii="Geomanist" w:hAnsi="Geomanist"/>
          <w:sz w:val="22"/>
          <w:szCs w:val="22"/>
        </w:rPr>
      </w:pPr>
      <w:r w:rsidRPr="00BF5904">
        <w:rPr>
          <w:rFonts w:ascii="Geomanist" w:hAnsi="Geomanist"/>
          <w:b/>
          <w:sz w:val="22"/>
          <w:szCs w:val="22"/>
        </w:rPr>
        <w:t xml:space="preserve">GARANTÍA DE DEFECTOS Y VICIOS OCULTOS DE LOS BIENES. </w:t>
      </w:r>
      <w:r w:rsidRPr="00BF5904">
        <w:rPr>
          <w:rFonts w:ascii="Geomanist" w:hAnsi="Geomanist"/>
          <w:sz w:val="22"/>
          <w:szCs w:val="22"/>
        </w:rPr>
        <w:t xml:space="preserve">El proveedor deberá entregar junto con los bienes una garantía de fabricación con cobertura amplia por 12 meses contra vicios ocultos, defectos de fabricación o cualquier daño que presenten los bienes, la cual </w:t>
      </w:r>
      <w:r w:rsidRPr="00BF5904">
        <w:rPr>
          <w:rFonts w:ascii="Geomanist" w:hAnsi="Geomanist"/>
          <w:sz w:val="22"/>
          <w:szCs w:val="22"/>
        </w:rPr>
        <w:lastRenderedPageBreak/>
        <w:t>deberá entregar al Instituto por escrito en papel membretado, debidamente firmada por el representante legal de éste y a entera satisfacción del Instituto.</w:t>
      </w:r>
    </w:p>
    <w:p w14:paraId="456B6F42" w14:textId="77777777" w:rsidR="00BF5904" w:rsidRPr="00BF5904" w:rsidRDefault="00BF5904" w:rsidP="00BF5904">
      <w:pPr>
        <w:tabs>
          <w:tab w:val="left" w:pos="851"/>
        </w:tabs>
        <w:ind w:left="567"/>
        <w:contextualSpacing/>
        <w:jc w:val="both"/>
        <w:rPr>
          <w:rFonts w:ascii="Geomanist" w:hAnsi="Geomanist" w:cs="Arial"/>
          <w:b/>
          <w:sz w:val="22"/>
          <w:szCs w:val="22"/>
        </w:rPr>
      </w:pPr>
    </w:p>
    <w:p w14:paraId="45980594" w14:textId="77777777" w:rsidR="00BF5904" w:rsidRPr="00BF5904" w:rsidRDefault="00BF5904" w:rsidP="00BF5904">
      <w:pPr>
        <w:tabs>
          <w:tab w:val="left" w:pos="851"/>
        </w:tabs>
        <w:ind w:left="426"/>
        <w:contextualSpacing/>
        <w:jc w:val="both"/>
        <w:rPr>
          <w:rFonts w:ascii="Geomanist" w:hAnsi="Geomanist" w:cs="Arial"/>
          <w:sz w:val="22"/>
          <w:szCs w:val="22"/>
        </w:rPr>
      </w:pPr>
      <w:r w:rsidRPr="00BF5904">
        <w:rPr>
          <w:rFonts w:ascii="Geomanist" w:hAnsi="Geomanist" w:cs="Arial"/>
          <w:b/>
          <w:sz w:val="22"/>
          <w:szCs w:val="22"/>
        </w:rPr>
        <w:t>CANJE.-</w:t>
      </w:r>
      <w:r w:rsidRPr="00BF5904">
        <w:rPr>
          <w:rFonts w:ascii="Geomanist" w:hAnsi="Geomanist" w:cs="Arial"/>
          <w:sz w:val="22"/>
          <w:szCs w:val="22"/>
        </w:rPr>
        <w:t xml:space="preserve"> El Instituto, por conducto del Administrador del Contrato solicitara al proveedor, la reposición de los bienes que presenten defectos o vicios ocultos, debiendo notificar al proveedor dentro del periodo de 03 (tres) días hábiles siguientes al momento en que se haya percatado del vicio o defecto, obligándose el proveedor a canjear el bien dentro de los 10 días hábiles contados a partir del día siguiente al que le sea notificado el canje, sin costo alguno para el Instituto.</w:t>
      </w:r>
    </w:p>
    <w:p w14:paraId="741AC6FE" w14:textId="77777777" w:rsidR="00BF5904" w:rsidRPr="00BF5904" w:rsidRDefault="00BF5904" w:rsidP="00BF5904">
      <w:pPr>
        <w:tabs>
          <w:tab w:val="left" w:pos="851"/>
        </w:tabs>
        <w:ind w:left="567"/>
        <w:contextualSpacing/>
        <w:jc w:val="both"/>
        <w:rPr>
          <w:rFonts w:ascii="Geomanist" w:hAnsi="Geomanist" w:cs="Arial"/>
          <w:sz w:val="22"/>
          <w:szCs w:val="22"/>
        </w:rPr>
      </w:pPr>
    </w:p>
    <w:p w14:paraId="4251025F" w14:textId="275A8D65" w:rsidR="00BF5904" w:rsidRDefault="00BF5904" w:rsidP="00BF5904">
      <w:pPr>
        <w:tabs>
          <w:tab w:val="left" w:pos="851"/>
        </w:tabs>
        <w:ind w:left="426"/>
        <w:contextualSpacing/>
        <w:jc w:val="both"/>
        <w:rPr>
          <w:rFonts w:ascii="Geomanist" w:hAnsi="Geomanist" w:cs="Arial"/>
          <w:sz w:val="22"/>
          <w:szCs w:val="22"/>
        </w:rPr>
      </w:pPr>
      <w:r w:rsidRPr="00BF5904">
        <w:rPr>
          <w:rFonts w:ascii="Geomanist" w:hAnsi="Geomanist" w:cs="Arial"/>
          <w:sz w:val="22"/>
          <w:szCs w:val="22"/>
        </w:rPr>
        <w:t xml:space="preserve">El proveedor se obliga a responder por su cuenta </w:t>
      </w:r>
      <w:r w:rsidR="005E706E">
        <w:rPr>
          <w:rFonts w:ascii="Geomanist" w:hAnsi="Geomanist" w:cs="Arial"/>
          <w:sz w:val="22"/>
          <w:szCs w:val="22"/>
        </w:rPr>
        <w:t xml:space="preserve">respecto de </w:t>
      </w:r>
      <w:r w:rsidRPr="00BF5904">
        <w:rPr>
          <w:rFonts w:ascii="Geomanist" w:hAnsi="Geomanist" w:cs="Arial"/>
          <w:sz w:val="22"/>
          <w:szCs w:val="22"/>
        </w:rPr>
        <w:t>los daños y/o perjuicios que, por inobservancia o negligencia de su parte, llegue a causar al Instituto y/o a terceros. Se comprometerá a dar atención inmediata cuando se le requiera por algún mal funcionamiento, defecto, vicios ocultos o solicitar información.</w:t>
      </w:r>
    </w:p>
    <w:p w14:paraId="0F208608" w14:textId="77777777" w:rsidR="005E706E" w:rsidRPr="00BF5904" w:rsidRDefault="005E706E" w:rsidP="00BF5904">
      <w:pPr>
        <w:tabs>
          <w:tab w:val="left" w:pos="851"/>
        </w:tabs>
        <w:ind w:left="426"/>
        <w:contextualSpacing/>
        <w:jc w:val="both"/>
        <w:rPr>
          <w:rFonts w:ascii="Geomanist" w:hAnsi="Geomanist" w:cs="Arial"/>
          <w:sz w:val="22"/>
          <w:szCs w:val="22"/>
        </w:rPr>
      </w:pPr>
    </w:p>
    <w:p w14:paraId="38D4D958" w14:textId="77777777" w:rsidR="00BF5904" w:rsidRPr="00BF5904" w:rsidRDefault="00BF5904" w:rsidP="00BF5904">
      <w:pPr>
        <w:pStyle w:val="Prrafodelista"/>
        <w:numPr>
          <w:ilvl w:val="0"/>
          <w:numId w:val="11"/>
        </w:numPr>
        <w:spacing w:after="0" w:line="240" w:lineRule="auto"/>
        <w:ind w:left="426" w:hanging="425"/>
        <w:jc w:val="both"/>
        <w:rPr>
          <w:rFonts w:ascii="Geomanist" w:hAnsi="Geomanist"/>
          <w:b/>
        </w:rPr>
      </w:pPr>
      <w:r w:rsidRPr="00BF5904">
        <w:rPr>
          <w:rFonts w:ascii="Geomanist" w:eastAsia="Calibri" w:hAnsi="Geomanist"/>
          <w:b/>
        </w:rPr>
        <w:t>PRECISAR LA FORMA DE PAGO PARA LO CUAL DEBERÁN ESPECIFICAR EL TIPO DE MONEDA Y SI SE REALIZARÁ EN UNA SOLA EXHIBICIÓN O EN PAGOS PROGRESIVOS CONFORME A LAS ENTREGAS PROGRAMADAS EN EL CONTRATO RESPECTIVO.</w:t>
      </w:r>
      <w:r w:rsidRPr="00BF5904">
        <w:rPr>
          <w:rFonts w:ascii="Geomanist" w:hAnsi="Geomanist"/>
          <w:b/>
        </w:rPr>
        <w:t xml:space="preserve"> </w:t>
      </w:r>
      <w:r w:rsidRPr="00BF5904">
        <w:rPr>
          <w:rFonts w:ascii="Geomanist" w:hAnsi="Geomanist"/>
        </w:rPr>
        <w:t xml:space="preserve">Los pagos se realizarán en moneda nacional, en pagos progresivos conforme a las entregas programadas en el contrato respectivo. </w:t>
      </w:r>
    </w:p>
    <w:p w14:paraId="58A2CED9" w14:textId="77777777" w:rsidR="00BF5904" w:rsidRPr="00BF5904" w:rsidRDefault="00BF5904" w:rsidP="00BF5904">
      <w:pPr>
        <w:pStyle w:val="Prrafodelista"/>
        <w:spacing w:after="0" w:line="240" w:lineRule="auto"/>
        <w:ind w:left="567"/>
        <w:jc w:val="both"/>
        <w:rPr>
          <w:rFonts w:ascii="Geomanist" w:hAnsi="Geomanist"/>
          <w:b/>
        </w:rPr>
      </w:pPr>
    </w:p>
    <w:p w14:paraId="78E6386A" w14:textId="77777777" w:rsidR="00BF5904" w:rsidRPr="00BF5904" w:rsidRDefault="00BF5904" w:rsidP="00BF5904">
      <w:pPr>
        <w:pStyle w:val="Prrafodelista"/>
        <w:numPr>
          <w:ilvl w:val="0"/>
          <w:numId w:val="11"/>
        </w:numPr>
        <w:tabs>
          <w:tab w:val="left" w:pos="426"/>
        </w:tabs>
        <w:spacing w:after="0" w:line="240" w:lineRule="auto"/>
        <w:ind w:left="426" w:hanging="284"/>
        <w:jc w:val="both"/>
        <w:rPr>
          <w:rFonts w:ascii="Geomanist" w:hAnsi="Geomanist"/>
        </w:rPr>
      </w:pPr>
      <w:r w:rsidRPr="00BF5904">
        <w:rPr>
          <w:rFonts w:ascii="Geomanist" w:eastAsia="Calibri" w:hAnsi="Geomanist"/>
          <w:b/>
        </w:rPr>
        <w:t xml:space="preserve">ESTABLECER LOS MECANISMOS DE COMPROBACIÓN, SUPERVISIÓN Y VERIFICACIÓN DE LOS BIENES O DE LOS SERVICIOS CONTRATADOS Y EFECTIVAMENTE ENTREGADOS O PRESTADOS, ASÍ COMO DEL CUMPLIMIENTO DE LAS REQUISICIONES DE CADA ENTREGABLE. </w:t>
      </w:r>
      <w:r w:rsidRPr="00BF5904">
        <w:rPr>
          <w:rFonts w:ascii="Geomanist" w:hAnsi="Geomanist"/>
        </w:rPr>
        <w:t>Durante la vigencia del contrato el Bioterio de la Coordinación de Investigación en Salud, podrá verificar, en cualquier momento que los bienes entregados por el proveedor, cumplan con las especificaciones requeridas en el inciso a) del Anexo Técnico, a través de pruebas de laboratorio y metrológicas realizadas por la Coordinación de Calidad  de Insumos y Laboratorios Especializados (CCILE), o en su defecto por un laboratorio público y/o privado verificado y acreditado por la Entidad Mexicana de Acreditación (EMA).</w:t>
      </w:r>
    </w:p>
    <w:p w14:paraId="330F35B1" w14:textId="77777777" w:rsidR="00BF5904" w:rsidRPr="00BF5904" w:rsidRDefault="00BF5904" w:rsidP="00BF5904">
      <w:pPr>
        <w:pStyle w:val="Prrafodelista"/>
        <w:spacing w:line="240" w:lineRule="auto"/>
        <w:ind w:left="426" w:hanging="142"/>
        <w:jc w:val="both"/>
        <w:rPr>
          <w:rFonts w:ascii="Geomanist" w:hAnsi="Geomanist" w:cs="Arial"/>
          <w:bCs/>
        </w:rPr>
      </w:pPr>
      <w:r w:rsidRPr="00BF5904">
        <w:rPr>
          <w:rFonts w:ascii="Geomanist" w:hAnsi="Geomanist" w:cs="Arial"/>
          <w:bCs/>
        </w:rPr>
        <w:t xml:space="preserve">   Así mismo, se verificará que los insumos entregados cumplan con la funcionalidad solicitada para los animales de Bioterio de la Coordinación de Investigación en Salud, por lo que se podrá realizar análisis de salud animal y, en su caso, determinar si los bienes cumplen con lo solicitado en la descripción de los bienes para su uso en los Protocolos de Investigación del Instituto. </w:t>
      </w:r>
    </w:p>
    <w:p w14:paraId="698B9274" w14:textId="77777777" w:rsidR="00BF5904" w:rsidRPr="00BF5904" w:rsidRDefault="00BF5904" w:rsidP="00BF5904">
      <w:pPr>
        <w:pStyle w:val="Prrafodelista"/>
        <w:spacing w:line="240" w:lineRule="auto"/>
        <w:ind w:left="567" w:hanging="207"/>
        <w:jc w:val="both"/>
        <w:rPr>
          <w:rFonts w:ascii="Geomanist" w:hAnsi="Geomanist" w:cs="Arial"/>
          <w:bCs/>
        </w:rPr>
      </w:pPr>
    </w:p>
    <w:p w14:paraId="2A7E4D19" w14:textId="2F99B5BA" w:rsidR="00BF5904" w:rsidRPr="00BF5904" w:rsidRDefault="00BF5904" w:rsidP="00BF5904">
      <w:pPr>
        <w:pStyle w:val="Prrafodelista"/>
        <w:suppressAutoHyphens/>
        <w:autoSpaceDE w:val="0"/>
        <w:autoSpaceDN w:val="0"/>
        <w:adjustRightInd w:val="0"/>
        <w:ind w:left="426"/>
        <w:jc w:val="both"/>
        <w:rPr>
          <w:rFonts w:ascii="Geomanist" w:eastAsia="Calibri" w:hAnsi="Geomanist"/>
        </w:rPr>
      </w:pPr>
      <w:r w:rsidRPr="00BF5904">
        <w:rPr>
          <w:rFonts w:ascii="Geomanist" w:eastAsia="Calibri" w:hAnsi="Geomanist"/>
          <w:b/>
        </w:rPr>
        <w:t>DEL PAGO.</w:t>
      </w:r>
      <w:r w:rsidRPr="00BF5904">
        <w:rPr>
          <w:rFonts w:ascii="Geomanist" w:eastAsia="Calibri" w:hAnsi="Geomanist"/>
        </w:rPr>
        <w:t xml:space="preserve"> El pago se realizará dentro de los 20 días naturales posteriores a la presentación de la representación impresa del Comprobante Fiscal Digital por Internet (CFDI) por parte del proveedor en la Coordinación de Contabilidad y Trámite de Erogaciones, dependiente de la Dirección de Finanzas, ubicada en calle Gobernador Tiburcio Montiel No. 15 (esq. Con calle General Gómez Pedraza), Colonia San Miguel Chapultepec, C.P. 11850, Alcaldía Miguel Hidalgo, </w:t>
      </w:r>
      <w:r w:rsidR="005E706E">
        <w:rPr>
          <w:rFonts w:ascii="Geomanist" w:eastAsia="Calibri" w:hAnsi="Geomanist"/>
        </w:rPr>
        <w:t xml:space="preserve">CDMX, </w:t>
      </w:r>
      <w:r w:rsidRPr="00BF5904">
        <w:rPr>
          <w:rFonts w:ascii="Geomanist" w:eastAsia="Calibri" w:hAnsi="Geomanist"/>
        </w:rPr>
        <w:t>de lunes a viernes en un horario de 9:00 a 13:00 horas. La representación impresa del CFDI,</w:t>
      </w:r>
      <w:r w:rsidR="0041409F">
        <w:rPr>
          <w:rFonts w:ascii="Geomanist" w:eastAsia="Calibri" w:hAnsi="Geomanist"/>
        </w:rPr>
        <w:t xml:space="preserve"> debe</w:t>
      </w:r>
      <w:r w:rsidRPr="00BF5904">
        <w:rPr>
          <w:rFonts w:ascii="Geomanist" w:eastAsia="Calibri" w:hAnsi="Geomanist"/>
        </w:rPr>
        <w:t xml:space="preserve"> cumpl</w:t>
      </w:r>
      <w:r w:rsidR="0041409F">
        <w:rPr>
          <w:rFonts w:ascii="Geomanist" w:eastAsia="Calibri" w:hAnsi="Geomanist"/>
        </w:rPr>
        <w:t>ir</w:t>
      </w:r>
      <w:r w:rsidRPr="00BF5904">
        <w:rPr>
          <w:rFonts w:ascii="Geomanist" w:eastAsia="Calibri" w:hAnsi="Geomanist"/>
        </w:rPr>
        <w:t xml:space="preserve"> con los requisitos </w:t>
      </w:r>
      <w:r w:rsidR="0041409F">
        <w:rPr>
          <w:rFonts w:ascii="Geomanist" w:eastAsia="Calibri" w:hAnsi="Geomanist"/>
        </w:rPr>
        <w:t>d</w:t>
      </w:r>
      <w:r w:rsidRPr="00BF5904">
        <w:rPr>
          <w:rFonts w:ascii="Geomanist" w:eastAsia="Calibri" w:hAnsi="Geomanist"/>
        </w:rPr>
        <w:t xml:space="preserve">el artículo 29-A del Código Fiscal de la Federación, descripción pormenorizada del bien de acuerdo a lo contratado, precio unitario, </w:t>
      </w:r>
      <w:r w:rsidRPr="00BF5904">
        <w:rPr>
          <w:rFonts w:ascii="Geomanist" w:eastAsia="Calibri" w:hAnsi="Geomanist"/>
        </w:rPr>
        <w:lastRenderedPageBreak/>
        <w:t xml:space="preserve">subtotal, I.V.A., importe total, firma del administrador del contrato, o quien lo sustituya o se encuentre facultado para ello, número de contrato, número de proveedor, número de fianza, nombre de la afianzadora y periodo de la entrega. </w:t>
      </w:r>
    </w:p>
    <w:p w14:paraId="4A609392" w14:textId="77777777" w:rsidR="00BF5904" w:rsidRPr="0041409F" w:rsidRDefault="00BF5904" w:rsidP="00BF5904">
      <w:pPr>
        <w:pStyle w:val="Prrafodelista"/>
        <w:suppressAutoHyphens/>
        <w:autoSpaceDE w:val="0"/>
        <w:autoSpaceDN w:val="0"/>
        <w:adjustRightInd w:val="0"/>
        <w:ind w:left="426"/>
        <w:jc w:val="both"/>
        <w:rPr>
          <w:rFonts w:ascii="Geomanist" w:eastAsia="Calibri" w:hAnsi="Geomanist"/>
          <w:sz w:val="16"/>
        </w:rPr>
      </w:pPr>
    </w:p>
    <w:p w14:paraId="760A198F" w14:textId="36DD6C79" w:rsidR="00BF5904" w:rsidRDefault="00BF5904" w:rsidP="00BF5904">
      <w:pPr>
        <w:pStyle w:val="Prrafodelista"/>
        <w:spacing w:after="0" w:line="240" w:lineRule="auto"/>
        <w:ind w:left="426"/>
        <w:jc w:val="both"/>
        <w:rPr>
          <w:rFonts w:ascii="Geomanist" w:eastAsia="Calibri" w:hAnsi="Geomanist"/>
        </w:rPr>
      </w:pPr>
      <w:r w:rsidRPr="00BF5904">
        <w:rPr>
          <w:rFonts w:ascii="Geomanist" w:eastAsia="Calibri" w:hAnsi="Geomanist"/>
        </w:rPr>
        <w:t>Derivado de la actualización en la emisión de Comprobantes Fiscales Digitales por Internet (CFDI) versión 4.0, valida a partir del 01 de abril de 2023, dichos CFDI se  emitirán a nombre del Instituto Mexicano del Seguro Social y deberán cumplir con las disposiciones fiscales publicadas por el SAT:</w:t>
      </w:r>
    </w:p>
    <w:p w14:paraId="78BB10C0" w14:textId="77777777" w:rsidR="0041409F" w:rsidRPr="00BF5904" w:rsidRDefault="0041409F" w:rsidP="00BF5904">
      <w:pPr>
        <w:pStyle w:val="Prrafodelista"/>
        <w:spacing w:after="0" w:line="240" w:lineRule="auto"/>
        <w:ind w:left="426"/>
        <w:jc w:val="both"/>
        <w:rPr>
          <w:rFonts w:ascii="Geomanist" w:eastAsia="Calibri" w:hAnsi="Geomanist"/>
        </w:rPr>
      </w:pPr>
    </w:p>
    <w:p w14:paraId="7C8374C3" w14:textId="77777777" w:rsidR="00BF5904" w:rsidRPr="00BF5904" w:rsidRDefault="00BF5904" w:rsidP="00BF5904">
      <w:pPr>
        <w:suppressAutoHyphens/>
        <w:ind w:left="426"/>
        <w:jc w:val="both"/>
        <w:rPr>
          <w:rFonts w:ascii="Geomanist" w:eastAsiaTheme="minorHAnsi" w:hAnsi="Geomanist"/>
          <w:sz w:val="22"/>
          <w:szCs w:val="22"/>
        </w:rPr>
      </w:pPr>
      <w:r w:rsidRPr="00BF5904">
        <w:rPr>
          <w:rFonts w:ascii="Geomanist" w:eastAsia="Calibri" w:hAnsi="Geomanist"/>
          <w:sz w:val="22"/>
          <w:szCs w:val="22"/>
        </w:rPr>
        <w:t>Comprobantes Fiscales Digitales por Internet o Factura Electrónica (CFDI) versión 4.0:</w:t>
      </w:r>
    </w:p>
    <w:p w14:paraId="5A2359BE" w14:textId="77777777" w:rsidR="00BF5904" w:rsidRPr="00BF5904" w:rsidRDefault="00BF5904" w:rsidP="00BF5904">
      <w:pPr>
        <w:pStyle w:val="Prrafodelista"/>
        <w:numPr>
          <w:ilvl w:val="0"/>
          <w:numId w:val="12"/>
        </w:numPr>
        <w:spacing w:before="100" w:beforeAutospacing="1" w:line="252" w:lineRule="auto"/>
        <w:ind w:left="851" w:hanging="284"/>
        <w:jc w:val="both"/>
        <w:rPr>
          <w:rFonts w:ascii="Geomanist" w:hAnsi="Geomanist"/>
        </w:rPr>
      </w:pPr>
      <w:r w:rsidRPr="00BF5904">
        <w:rPr>
          <w:rFonts w:ascii="Geomanist" w:hAnsi="Geomanist"/>
        </w:rPr>
        <w:t>Razón Social: Instituto Mexicano del Seguro Social.</w:t>
      </w:r>
    </w:p>
    <w:p w14:paraId="1936C670" w14:textId="77777777" w:rsidR="00BF5904" w:rsidRPr="00BF5904" w:rsidRDefault="00BF5904" w:rsidP="00BF5904">
      <w:pPr>
        <w:pStyle w:val="Prrafodelista"/>
        <w:numPr>
          <w:ilvl w:val="0"/>
          <w:numId w:val="12"/>
        </w:numPr>
        <w:spacing w:before="100" w:beforeAutospacing="1" w:line="252" w:lineRule="auto"/>
        <w:ind w:left="851" w:hanging="284"/>
        <w:jc w:val="both"/>
        <w:rPr>
          <w:rFonts w:ascii="Geomanist" w:hAnsi="Geomanist"/>
        </w:rPr>
      </w:pPr>
      <w:r w:rsidRPr="00BF5904">
        <w:rPr>
          <w:rFonts w:ascii="Geomanist" w:hAnsi="Geomanist"/>
        </w:rPr>
        <w:t>RFC: IMS421231I45.</w:t>
      </w:r>
    </w:p>
    <w:p w14:paraId="65676631" w14:textId="77777777" w:rsidR="00BF5904" w:rsidRPr="00BF5904" w:rsidRDefault="00BF5904" w:rsidP="00BF5904">
      <w:pPr>
        <w:pStyle w:val="Prrafodelista"/>
        <w:numPr>
          <w:ilvl w:val="0"/>
          <w:numId w:val="12"/>
        </w:numPr>
        <w:spacing w:before="100" w:beforeAutospacing="1" w:line="252" w:lineRule="auto"/>
        <w:ind w:left="851" w:hanging="284"/>
        <w:jc w:val="both"/>
        <w:rPr>
          <w:rFonts w:ascii="Geomanist" w:hAnsi="Geomanist"/>
        </w:rPr>
      </w:pPr>
      <w:r w:rsidRPr="00BF5904">
        <w:rPr>
          <w:rFonts w:ascii="Geomanist" w:hAnsi="Geomanist"/>
        </w:rPr>
        <w:t>Domicilio: Avenida Paseo de la Reforma, número 476, Colonia Juárez, Alcaldía Cuauhtémoc, C.P. 06600, Ciudad de México.</w:t>
      </w:r>
    </w:p>
    <w:p w14:paraId="4AC845C9" w14:textId="77777777" w:rsidR="00BF5904" w:rsidRPr="00BF5904" w:rsidRDefault="00BF5904" w:rsidP="00BF5904">
      <w:pPr>
        <w:pStyle w:val="Prrafodelista"/>
        <w:numPr>
          <w:ilvl w:val="0"/>
          <w:numId w:val="12"/>
        </w:numPr>
        <w:spacing w:before="100" w:beforeAutospacing="1" w:line="252" w:lineRule="auto"/>
        <w:ind w:left="851" w:hanging="284"/>
        <w:jc w:val="both"/>
        <w:rPr>
          <w:rFonts w:ascii="Geomanist" w:hAnsi="Geomanist"/>
        </w:rPr>
      </w:pPr>
      <w:r w:rsidRPr="00BF5904">
        <w:rPr>
          <w:rFonts w:ascii="Geomanist" w:hAnsi="Geomanist"/>
        </w:rPr>
        <w:t>Régimen Fiscal: (603) Personas morales con fines no lucrativos.</w:t>
      </w:r>
    </w:p>
    <w:p w14:paraId="0029FDA6" w14:textId="77777777" w:rsidR="00BF5904" w:rsidRPr="00BF5904" w:rsidRDefault="00BF5904" w:rsidP="00BF5904">
      <w:pPr>
        <w:pStyle w:val="Prrafodelista"/>
        <w:numPr>
          <w:ilvl w:val="0"/>
          <w:numId w:val="12"/>
        </w:numPr>
        <w:spacing w:before="100" w:beforeAutospacing="1" w:line="252" w:lineRule="auto"/>
        <w:ind w:left="851" w:hanging="284"/>
        <w:jc w:val="both"/>
        <w:rPr>
          <w:rFonts w:ascii="Geomanist" w:hAnsi="Geomanist"/>
        </w:rPr>
      </w:pPr>
      <w:r w:rsidRPr="00BF5904">
        <w:rPr>
          <w:rFonts w:ascii="Geomanist" w:hAnsi="Geomanist"/>
        </w:rPr>
        <w:t xml:space="preserve">Uso de CFDI: Clave S01 “sin efectos fiscales”. </w:t>
      </w:r>
    </w:p>
    <w:p w14:paraId="65F483AC" w14:textId="77777777" w:rsidR="00BF5904" w:rsidRPr="00BF5904" w:rsidRDefault="00BF5904" w:rsidP="00BF5904">
      <w:pPr>
        <w:pStyle w:val="Prrafodelista"/>
        <w:spacing w:before="100" w:beforeAutospacing="1" w:line="252" w:lineRule="auto"/>
        <w:ind w:left="851"/>
        <w:jc w:val="both"/>
        <w:rPr>
          <w:rFonts w:ascii="Geomanist" w:hAnsi="Geomanist"/>
        </w:rPr>
      </w:pPr>
    </w:p>
    <w:p w14:paraId="706C4A6E" w14:textId="31EF228E" w:rsidR="00BF5904" w:rsidRPr="00BF5904" w:rsidRDefault="00BF5904" w:rsidP="00BF5904">
      <w:pPr>
        <w:pStyle w:val="Prrafodelista"/>
        <w:suppressAutoHyphens/>
        <w:autoSpaceDE w:val="0"/>
        <w:autoSpaceDN w:val="0"/>
        <w:adjustRightInd w:val="0"/>
        <w:ind w:left="426"/>
        <w:jc w:val="both"/>
        <w:rPr>
          <w:rFonts w:ascii="Geomanist" w:eastAsia="Calibri" w:hAnsi="Geomanist"/>
        </w:rPr>
      </w:pPr>
      <w:r w:rsidRPr="00BF5904">
        <w:rPr>
          <w:rFonts w:ascii="Geomanist" w:eastAsia="Calibri" w:hAnsi="Geomanist"/>
        </w:rPr>
        <w:t>Previo al trámite de presentación de los CFDI para pago en la Coordinación de Contabilidad y Trámite de Erogaciones, el proveedor deberá acudir al Área de Recursos Financieros, dependiente de la Coordinación de Servicios Administrativos adscrita a la Dirección de Prestaciones Médicas, ubicada en Hamburgo número 18, Sótano, Colonia Juárez, Alcaldía Cuauhtémoc, Ciudad de México, C.P. 06600, de lunes a viernes de 9:00 a 14:00 horas, para revisión de los mismos y recabar el sello de afectación presupuestal correspondiente. Para su pago, de</w:t>
      </w:r>
      <w:r w:rsidR="0041409F">
        <w:rPr>
          <w:rFonts w:ascii="Geomanist" w:eastAsia="Calibri" w:hAnsi="Geomanist"/>
        </w:rPr>
        <w:t>berá agregar copia del contrato, copia de</w:t>
      </w:r>
      <w:r w:rsidRPr="00BF5904">
        <w:rPr>
          <w:rFonts w:ascii="Geomanist" w:eastAsia="Calibri" w:hAnsi="Geomanist"/>
        </w:rPr>
        <w:t xml:space="preserve"> la póliza de garantía de cumplimiento y de la garantía de los bienes</w:t>
      </w:r>
      <w:r w:rsidR="0041409F">
        <w:rPr>
          <w:rFonts w:ascii="Geomanist" w:eastAsia="Calibri" w:hAnsi="Geomanist"/>
        </w:rPr>
        <w:t>,</w:t>
      </w:r>
      <w:r w:rsidRPr="00BF5904">
        <w:rPr>
          <w:rFonts w:ascii="Geomanist" w:eastAsia="Calibri" w:hAnsi="Geomanist"/>
        </w:rPr>
        <w:t xml:space="preserve"> copia del acta entrega-recepción o remisión. Asimismo, deberá presentar opiniones de cumplimiento vigentes y positivas en materia de Seguridad Social, Infonavit y SAT. </w:t>
      </w:r>
    </w:p>
    <w:p w14:paraId="05704A3C" w14:textId="77777777" w:rsidR="00BF5904" w:rsidRPr="00BF5904" w:rsidRDefault="00BF5904" w:rsidP="00BF5904">
      <w:pPr>
        <w:pStyle w:val="Prrafodelista"/>
        <w:suppressAutoHyphens/>
        <w:autoSpaceDE w:val="0"/>
        <w:autoSpaceDN w:val="0"/>
        <w:adjustRightInd w:val="0"/>
        <w:ind w:left="426"/>
        <w:jc w:val="both"/>
        <w:rPr>
          <w:rFonts w:ascii="Geomanist" w:eastAsia="Calibri" w:hAnsi="Geomanist"/>
        </w:rPr>
      </w:pPr>
    </w:p>
    <w:p w14:paraId="3FDCA568" w14:textId="77777777" w:rsidR="00BF5904" w:rsidRPr="00BF5904" w:rsidRDefault="00BF5904" w:rsidP="00BF5904">
      <w:pPr>
        <w:pStyle w:val="Prrafodelista"/>
        <w:suppressAutoHyphens/>
        <w:autoSpaceDE w:val="0"/>
        <w:autoSpaceDN w:val="0"/>
        <w:adjustRightInd w:val="0"/>
        <w:ind w:left="426"/>
        <w:jc w:val="both"/>
        <w:rPr>
          <w:rFonts w:ascii="Geomanist" w:eastAsia="Calibri" w:hAnsi="Geomanist"/>
        </w:rPr>
      </w:pPr>
      <w:r w:rsidRPr="00BF5904">
        <w:rPr>
          <w:rFonts w:ascii="Geomanist" w:eastAsia="Calibri" w:hAnsi="Geomanist"/>
        </w:rPr>
        <w:t xml:space="preserve">Para la validación de los comprobantes fiscales, el proveedor deberá cargar en Internet, a través del Portal de Servicios a Proveedores de la página del IMSS, el archivo en formato XML; la validez de los mismos será determinada durante la carga y únicamente los comprobantes válidos serán procedentes para pago. </w:t>
      </w:r>
    </w:p>
    <w:p w14:paraId="0EC256CF" w14:textId="77777777" w:rsidR="00BF5904" w:rsidRPr="00BF5904" w:rsidRDefault="00BF5904" w:rsidP="00BF5904">
      <w:pPr>
        <w:pStyle w:val="Prrafodelista"/>
        <w:suppressAutoHyphens/>
        <w:autoSpaceDE w:val="0"/>
        <w:autoSpaceDN w:val="0"/>
        <w:adjustRightInd w:val="0"/>
        <w:jc w:val="both"/>
        <w:rPr>
          <w:rFonts w:ascii="Geomanist" w:eastAsia="Calibri" w:hAnsi="Geomanist"/>
        </w:rPr>
      </w:pPr>
    </w:p>
    <w:p w14:paraId="5088F660" w14:textId="77777777" w:rsidR="00BF5904" w:rsidRPr="00BF5904" w:rsidRDefault="00BF5904" w:rsidP="00BF5904">
      <w:pPr>
        <w:pStyle w:val="Prrafodelista"/>
        <w:suppressAutoHyphens/>
        <w:autoSpaceDE w:val="0"/>
        <w:autoSpaceDN w:val="0"/>
        <w:adjustRightInd w:val="0"/>
        <w:ind w:left="426"/>
        <w:jc w:val="both"/>
        <w:rPr>
          <w:rFonts w:ascii="Geomanist" w:eastAsia="Calibri" w:hAnsi="Geomanist"/>
        </w:rPr>
      </w:pPr>
      <w:r w:rsidRPr="00BF5904">
        <w:rPr>
          <w:rFonts w:ascii="Geomanist" w:eastAsia="Calibri" w:hAnsi="Geomanist"/>
        </w:rPr>
        <w:t>El pago se realizará mediante transferencia electrónica de fondos y en la fecha, a través del esquema electrónico interbancarios que el IMSS tiene en operación, para tal efecto el proveedor deberá proporcionar la documentación requerida por la Coordinación de Tesorería, para dar de alta en el Sistema del Instituto la cuenta bancaria, (no deberá ser referenciada ni concentradora), CLABE, banco y sucursal.</w:t>
      </w:r>
    </w:p>
    <w:p w14:paraId="31609D0A" w14:textId="77777777" w:rsidR="00BF5904" w:rsidRPr="00BF5904" w:rsidRDefault="00BF5904" w:rsidP="00BF5904">
      <w:pPr>
        <w:pStyle w:val="Prrafodelista"/>
        <w:suppressAutoHyphens/>
        <w:autoSpaceDE w:val="0"/>
        <w:autoSpaceDN w:val="0"/>
        <w:adjustRightInd w:val="0"/>
        <w:ind w:left="426"/>
        <w:jc w:val="both"/>
        <w:rPr>
          <w:rFonts w:ascii="Geomanist" w:eastAsia="Calibri" w:hAnsi="Geomanist"/>
        </w:rPr>
      </w:pPr>
    </w:p>
    <w:p w14:paraId="62754C24" w14:textId="77777777" w:rsidR="00BF5904" w:rsidRPr="00BF5904" w:rsidRDefault="00BF5904" w:rsidP="00BF5904">
      <w:pPr>
        <w:pStyle w:val="Prrafodelista"/>
        <w:numPr>
          <w:ilvl w:val="0"/>
          <w:numId w:val="11"/>
        </w:numPr>
        <w:suppressAutoHyphens/>
        <w:spacing w:after="200" w:line="240" w:lineRule="auto"/>
        <w:ind w:left="426" w:hanging="425"/>
        <w:jc w:val="both"/>
        <w:rPr>
          <w:rFonts w:ascii="Geomanist" w:hAnsi="Geomanist" w:cs="Arial"/>
          <w:bCs/>
        </w:rPr>
      </w:pPr>
      <w:r w:rsidRPr="00BF5904">
        <w:rPr>
          <w:rFonts w:ascii="Geomanist" w:hAnsi="Geomanist"/>
          <w:b/>
        </w:rPr>
        <w:t xml:space="preserve">EN CASO DE QUE SE SOLICITE EL OTORGAMIENTO DE ANTICIPO, DEBERA SEÑALARSE EL PORCENTAJE Y FORMA DE AMORTIZACIÓNDEL MISMO, EL CUAL DEBERA AJUSTARSE A </w:t>
      </w:r>
      <w:r w:rsidRPr="00BF5904">
        <w:rPr>
          <w:rFonts w:ascii="Geomanist" w:hAnsi="Geomanist"/>
          <w:b/>
        </w:rPr>
        <w:lastRenderedPageBreak/>
        <w:t xml:space="preserve">LAS DISPOSICIONES ESTABLECIDAS EN LOS ARTICULOS 13, 45 FRACCIONES IX Y X DE LAS LAASSP Y 81 FRACCIÓN V DEL RLAASSP, Y EL NUMERAL 4.2.7 DEL MAAGAASSP. ASI COMO LA JUSTIFICACIÓN PARA EL OTORGAMIENTO DEL ANTICIPO.- </w:t>
      </w:r>
      <w:r w:rsidRPr="00BF5904">
        <w:rPr>
          <w:rFonts w:ascii="Geomanist" w:eastAsia="Calibri" w:hAnsi="Geomanist" w:cs="Arial"/>
        </w:rPr>
        <w:t>No se otorgarán anticipos.</w:t>
      </w:r>
    </w:p>
    <w:p w14:paraId="48F6F42B" w14:textId="77777777" w:rsidR="00BF5904" w:rsidRPr="00BF5904" w:rsidRDefault="00BF5904" w:rsidP="00BF5904">
      <w:pPr>
        <w:pStyle w:val="Prrafodelista"/>
        <w:numPr>
          <w:ilvl w:val="0"/>
          <w:numId w:val="11"/>
        </w:numPr>
        <w:tabs>
          <w:tab w:val="left" w:pos="426"/>
          <w:tab w:val="left" w:pos="567"/>
        </w:tabs>
        <w:suppressAutoHyphens/>
        <w:jc w:val="both"/>
        <w:rPr>
          <w:rFonts w:ascii="Geomanist" w:hAnsi="Geomanist"/>
        </w:rPr>
      </w:pPr>
      <w:r w:rsidRPr="00BF5904">
        <w:rPr>
          <w:rFonts w:ascii="Geomanist" w:hAnsi="Geomanist"/>
          <w:b/>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sidRPr="00BF5904">
        <w:rPr>
          <w:rFonts w:ascii="Geomanist" w:hAnsi="Geomanist"/>
        </w:rPr>
        <w:t>. No aplica.</w:t>
      </w:r>
    </w:p>
    <w:p w14:paraId="4501EF76" w14:textId="77777777" w:rsidR="00BF5904" w:rsidRPr="00BF5904" w:rsidRDefault="00BF5904" w:rsidP="00BF5904">
      <w:pPr>
        <w:tabs>
          <w:tab w:val="left" w:pos="426"/>
          <w:tab w:val="left" w:pos="567"/>
        </w:tabs>
        <w:suppressAutoHyphens/>
        <w:jc w:val="both"/>
        <w:rPr>
          <w:rFonts w:ascii="Geomanist" w:eastAsiaTheme="minorHAnsi" w:hAnsi="Geomanist"/>
          <w:sz w:val="22"/>
          <w:szCs w:val="22"/>
        </w:rPr>
      </w:pPr>
    </w:p>
    <w:p w14:paraId="764C5389" w14:textId="77777777" w:rsidR="00BF5904" w:rsidRPr="00BF5904" w:rsidRDefault="00BF5904" w:rsidP="00BF5904">
      <w:pPr>
        <w:pStyle w:val="Prrafodelista"/>
        <w:numPr>
          <w:ilvl w:val="0"/>
          <w:numId w:val="11"/>
        </w:numPr>
        <w:tabs>
          <w:tab w:val="left" w:pos="0"/>
          <w:tab w:val="left" w:pos="426"/>
        </w:tabs>
        <w:spacing w:after="0" w:line="240" w:lineRule="auto"/>
        <w:jc w:val="both"/>
        <w:rPr>
          <w:rFonts w:ascii="Geomanist" w:hAnsi="Geomanist"/>
          <w:b/>
        </w:rPr>
      </w:pPr>
      <w:r w:rsidRPr="00BF5904">
        <w:rPr>
          <w:rFonts w:ascii="Geomanist" w:hAnsi="Geomanist"/>
          <w:b/>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BF5904">
        <w:rPr>
          <w:rFonts w:ascii="Geomanist" w:hAnsi="Geomanist"/>
        </w:rPr>
        <w:t>No aplica.</w:t>
      </w:r>
    </w:p>
    <w:p w14:paraId="692DAE85" w14:textId="77777777" w:rsidR="00BF5904" w:rsidRPr="00BF5904" w:rsidRDefault="00BF5904" w:rsidP="00BF5904">
      <w:pPr>
        <w:tabs>
          <w:tab w:val="left" w:pos="0"/>
          <w:tab w:val="left" w:pos="284"/>
        </w:tabs>
        <w:jc w:val="both"/>
        <w:rPr>
          <w:rFonts w:ascii="Geomanist" w:hAnsi="Geomanist"/>
          <w:b/>
          <w:sz w:val="22"/>
          <w:szCs w:val="22"/>
        </w:rPr>
      </w:pPr>
    </w:p>
    <w:p w14:paraId="188D18FC" w14:textId="77777777" w:rsidR="00BF5904" w:rsidRPr="00BF5904" w:rsidRDefault="00BF5904" w:rsidP="00BF5904">
      <w:pPr>
        <w:pStyle w:val="Prrafodelista"/>
        <w:numPr>
          <w:ilvl w:val="0"/>
          <w:numId w:val="11"/>
        </w:numPr>
        <w:tabs>
          <w:tab w:val="left" w:pos="0"/>
          <w:tab w:val="left" w:pos="284"/>
        </w:tabs>
        <w:spacing w:after="0" w:line="240" w:lineRule="auto"/>
        <w:jc w:val="both"/>
        <w:rPr>
          <w:rFonts w:ascii="Geomanist" w:hAnsi="Geomanist"/>
          <w:b/>
        </w:rPr>
      </w:pPr>
      <w:r w:rsidRPr="00BF5904">
        <w:rPr>
          <w:rFonts w:ascii="Geomanist" w:hAnsi="Geomanist"/>
          <w:b/>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BF5904">
        <w:rPr>
          <w:rFonts w:ascii="Geomanist" w:hAnsi="Geomanist"/>
        </w:rPr>
        <w:t xml:space="preserve"> No aplica.</w:t>
      </w:r>
    </w:p>
    <w:p w14:paraId="780427E7" w14:textId="77777777" w:rsidR="00BF5904" w:rsidRPr="00BF5904" w:rsidRDefault="00BF5904" w:rsidP="00BF5904">
      <w:pPr>
        <w:suppressAutoHyphens/>
        <w:contextualSpacing/>
        <w:jc w:val="both"/>
        <w:rPr>
          <w:rFonts w:ascii="Geomanist" w:hAnsi="Geomanist" w:cs="Arial"/>
          <w:sz w:val="22"/>
          <w:szCs w:val="22"/>
        </w:rPr>
      </w:pPr>
    </w:p>
    <w:p w14:paraId="527BB723" w14:textId="77777777" w:rsidR="00BF5904" w:rsidRPr="00BF5904" w:rsidRDefault="00BF5904" w:rsidP="00BF5904">
      <w:pPr>
        <w:pStyle w:val="Prrafodelista"/>
        <w:tabs>
          <w:tab w:val="left" w:pos="426"/>
          <w:tab w:val="left" w:pos="567"/>
        </w:tabs>
        <w:suppressAutoHyphens/>
        <w:ind w:left="426"/>
        <w:jc w:val="both"/>
        <w:rPr>
          <w:rFonts w:ascii="Geomanist" w:eastAsia="Calibri" w:hAnsi="Geomanist"/>
        </w:rPr>
      </w:pPr>
      <w:r w:rsidRPr="00BF5904">
        <w:rPr>
          <w:rFonts w:ascii="Geomanist" w:eastAsia="Calibri" w:hAnsi="Geomanist"/>
          <w:b/>
        </w:rPr>
        <w:t>DESIGNACIÓN DEL ÁREA REQUIRENTE Y DEL ÁREA TÉCNICA.</w:t>
      </w:r>
      <w:r w:rsidRPr="00BF5904">
        <w:rPr>
          <w:rFonts w:ascii="Geomanist" w:eastAsia="Calibri" w:hAnsi="Geomanist"/>
        </w:rPr>
        <w:t xml:space="preserve"> </w:t>
      </w:r>
      <w:r w:rsidRPr="00BF5904">
        <w:rPr>
          <w:rFonts w:ascii="Geomanist" w:eastAsia="Montserrat" w:hAnsi="Geomanist" w:cs="Montserrat"/>
        </w:rPr>
        <w:t>La Dra. Laura Cecilia Bonifaz Alfonzo, Titular de la Coordinación de Investigación en Salud, será la responsable de firmar la Evaluación Técnica de las propuestas que presenten los proveedores participantes en el procedimiento de contratación. Asimismo, se designa al Dr. Joaquín González Ibarra, Titular de la División de Desarrollo de la Investigación en Salud, para efectuar la Evaluación Técnica de los proveedores y a la M. en C. Itzel Isaura Baca Ibarra, Jefa del Bioterio de la Coordinación de Investigación en Salud, como representantes de la misma para asistir al servicio público que presida la junta de aclaraciones, respondiendo de manera clara y precisa las dudas y planteamientos sobre aspectos técnicos.</w:t>
      </w:r>
    </w:p>
    <w:p w14:paraId="6F2D9B0B" w14:textId="08355483" w:rsidR="00BF5904" w:rsidRPr="00BF5904" w:rsidRDefault="00BF5904" w:rsidP="00BF5904">
      <w:pPr>
        <w:jc w:val="center"/>
        <w:rPr>
          <w:rFonts w:ascii="Geomanist" w:eastAsia="Calibri" w:hAnsi="Geomanist"/>
          <w:b/>
          <w:sz w:val="22"/>
          <w:szCs w:val="22"/>
        </w:rPr>
      </w:pPr>
    </w:p>
    <w:p w14:paraId="3E665447" w14:textId="77777777" w:rsidR="007C1CA1" w:rsidRDefault="007C1CA1" w:rsidP="00BF5904">
      <w:pPr>
        <w:rPr>
          <w:rFonts w:ascii="Geomanist" w:hAnsi="Geomanist"/>
          <w:sz w:val="22"/>
          <w:szCs w:val="22"/>
        </w:rPr>
      </w:pPr>
    </w:p>
    <w:p w14:paraId="7EE90564" w14:textId="77777777" w:rsidR="00470059" w:rsidRDefault="00470059" w:rsidP="00BF5904">
      <w:pPr>
        <w:rPr>
          <w:rFonts w:ascii="Geomanist" w:hAnsi="Geomanist"/>
          <w:sz w:val="22"/>
          <w:szCs w:val="22"/>
        </w:rPr>
      </w:pPr>
    </w:p>
    <w:p w14:paraId="4C80C7FC" w14:textId="77777777" w:rsidR="00470059" w:rsidRDefault="00470059" w:rsidP="00BF5904">
      <w:pPr>
        <w:rPr>
          <w:rFonts w:ascii="Geomanist" w:hAnsi="Geomanist"/>
          <w:sz w:val="22"/>
          <w:szCs w:val="22"/>
        </w:rPr>
      </w:pPr>
    </w:p>
    <w:p w14:paraId="0384F5BA" w14:textId="77777777" w:rsidR="00470059" w:rsidRDefault="00470059" w:rsidP="00BF5904">
      <w:pPr>
        <w:rPr>
          <w:rFonts w:ascii="Geomanist" w:hAnsi="Geomanist"/>
          <w:sz w:val="22"/>
          <w:szCs w:val="22"/>
        </w:rPr>
      </w:pPr>
    </w:p>
    <w:p w14:paraId="1ED3989E" w14:textId="77777777" w:rsidR="00470059" w:rsidRDefault="00470059" w:rsidP="00BF5904">
      <w:pPr>
        <w:rPr>
          <w:rFonts w:ascii="Geomanist" w:hAnsi="Geomanist"/>
          <w:sz w:val="22"/>
          <w:szCs w:val="22"/>
        </w:rPr>
      </w:pPr>
    </w:p>
    <w:p w14:paraId="3692BA25" w14:textId="77777777" w:rsidR="00470059" w:rsidRPr="00BF5904" w:rsidRDefault="00470059" w:rsidP="00BF5904">
      <w:pPr>
        <w:rPr>
          <w:rFonts w:ascii="Geomanist" w:hAnsi="Geomanist"/>
          <w:sz w:val="22"/>
          <w:szCs w:val="22"/>
        </w:rPr>
      </w:pPr>
      <w:bookmarkStart w:id="0" w:name="_GoBack"/>
      <w:bookmarkEnd w:id="0"/>
    </w:p>
    <w:p w14:paraId="3E90F603" w14:textId="77777777" w:rsidR="00BF5904" w:rsidRPr="00BF5904" w:rsidRDefault="00BF5904" w:rsidP="00BF5904">
      <w:pPr>
        <w:jc w:val="center"/>
        <w:rPr>
          <w:rFonts w:ascii="Geomanist" w:hAnsi="Geomanist"/>
          <w:b/>
          <w:sz w:val="20"/>
          <w:szCs w:val="20"/>
        </w:rPr>
      </w:pPr>
      <w:r w:rsidRPr="00BF5904">
        <w:rPr>
          <w:rFonts w:ascii="Geomanist" w:hAnsi="Geomanist"/>
          <w:b/>
          <w:sz w:val="20"/>
          <w:szCs w:val="20"/>
        </w:rPr>
        <w:lastRenderedPageBreak/>
        <w:t>ANEXO 1</w:t>
      </w:r>
    </w:p>
    <w:p w14:paraId="5A3AB63E" w14:textId="77777777" w:rsidR="00BF5904" w:rsidRPr="00BF5904" w:rsidRDefault="00BF5904" w:rsidP="00BF5904">
      <w:pPr>
        <w:jc w:val="center"/>
        <w:rPr>
          <w:rFonts w:ascii="Geomanist" w:hAnsi="Geomanist"/>
          <w:b/>
          <w:sz w:val="20"/>
          <w:szCs w:val="20"/>
        </w:rPr>
      </w:pPr>
      <w:r w:rsidRPr="00BF5904">
        <w:rPr>
          <w:rFonts w:ascii="Geomanist" w:hAnsi="Geomanist"/>
          <w:b/>
          <w:sz w:val="20"/>
          <w:szCs w:val="20"/>
        </w:rPr>
        <w:t>(FORMATO DE PROPUESTA TÉCNICA)</w:t>
      </w:r>
    </w:p>
    <w:p w14:paraId="196E4A9B" w14:textId="77777777" w:rsidR="00BF5904" w:rsidRPr="00BF5904" w:rsidRDefault="00BF5904" w:rsidP="00BF5904">
      <w:pPr>
        <w:jc w:val="center"/>
        <w:rPr>
          <w:rFonts w:ascii="Geomanist" w:hAnsi="Geomanist"/>
          <w:sz w:val="20"/>
          <w:szCs w:val="20"/>
        </w:rPr>
      </w:pPr>
    </w:p>
    <w:tbl>
      <w:tblPr>
        <w:tblW w:w="5000" w:type="pct"/>
        <w:tblLayout w:type="fixed"/>
        <w:tblLook w:val="0000" w:firstRow="0" w:lastRow="0" w:firstColumn="0" w:lastColumn="0" w:noHBand="0" w:noVBand="0"/>
      </w:tblPr>
      <w:tblGrid>
        <w:gridCol w:w="934"/>
        <w:gridCol w:w="448"/>
        <w:gridCol w:w="404"/>
        <w:gridCol w:w="639"/>
        <w:gridCol w:w="400"/>
        <w:gridCol w:w="260"/>
        <w:gridCol w:w="1422"/>
        <w:gridCol w:w="538"/>
        <w:gridCol w:w="231"/>
        <w:gridCol w:w="1123"/>
        <w:gridCol w:w="227"/>
        <w:gridCol w:w="449"/>
        <w:gridCol w:w="701"/>
        <w:gridCol w:w="394"/>
        <w:gridCol w:w="225"/>
        <w:gridCol w:w="1319"/>
      </w:tblGrid>
      <w:tr w:rsidR="00BF5904" w:rsidRPr="00BF5904" w14:paraId="355830A1" w14:textId="77777777" w:rsidTr="00C75A79">
        <w:trPr>
          <w:cantSplit/>
          <w:trHeight w:hRule="exact" w:val="319"/>
        </w:trPr>
        <w:tc>
          <w:tcPr>
            <w:tcW w:w="1453" w:type="pct"/>
            <w:gridSpan w:val="5"/>
            <w:tcBorders>
              <w:right w:val="single" w:sz="4" w:space="0" w:color="auto"/>
            </w:tcBorders>
          </w:tcPr>
          <w:p w14:paraId="3730ED3B" w14:textId="77777777" w:rsidR="00BF5904" w:rsidRPr="00BF5904" w:rsidRDefault="00BF5904" w:rsidP="00C75A79">
            <w:pPr>
              <w:snapToGrid w:val="0"/>
              <w:jc w:val="both"/>
              <w:rPr>
                <w:rFonts w:ascii="Geomanist" w:hAnsi="Geomanist"/>
                <w:b/>
                <w:sz w:val="20"/>
                <w:szCs w:val="20"/>
              </w:rPr>
            </w:pPr>
            <w:r w:rsidRPr="00BF5904">
              <w:rPr>
                <w:rFonts w:ascii="Geomanist" w:hAnsi="Geomanist"/>
                <w:b/>
                <w:sz w:val="20"/>
                <w:szCs w:val="20"/>
              </w:rPr>
              <w:t>ADJUDICACIÓN DIRECTA ELECTRÓNICA  N°.</w:t>
            </w:r>
          </w:p>
        </w:tc>
        <w:tc>
          <w:tcPr>
            <w:tcW w:w="1957" w:type="pct"/>
            <w:gridSpan w:val="6"/>
            <w:tcBorders>
              <w:top w:val="single" w:sz="4" w:space="0" w:color="auto"/>
              <w:left w:val="single" w:sz="4" w:space="0" w:color="auto"/>
              <w:bottom w:val="single" w:sz="4" w:space="0" w:color="auto"/>
              <w:right w:val="single" w:sz="4" w:space="0" w:color="auto"/>
            </w:tcBorders>
          </w:tcPr>
          <w:p w14:paraId="6B09D0DD" w14:textId="77777777" w:rsidR="00BF5904" w:rsidRPr="00BF5904" w:rsidRDefault="00BF5904" w:rsidP="00C75A79">
            <w:pPr>
              <w:snapToGrid w:val="0"/>
              <w:jc w:val="both"/>
              <w:rPr>
                <w:rFonts w:ascii="Geomanist" w:hAnsi="Geomanist"/>
                <w:b/>
                <w:sz w:val="20"/>
                <w:szCs w:val="20"/>
              </w:rPr>
            </w:pPr>
          </w:p>
        </w:tc>
        <w:tc>
          <w:tcPr>
            <w:tcW w:w="592" w:type="pct"/>
            <w:gridSpan w:val="2"/>
            <w:tcBorders>
              <w:left w:val="single" w:sz="4" w:space="0" w:color="auto"/>
              <w:right w:val="single" w:sz="4" w:space="0" w:color="auto"/>
            </w:tcBorders>
          </w:tcPr>
          <w:p w14:paraId="729EA5B8" w14:textId="77777777" w:rsidR="00BF5904" w:rsidRPr="00BF5904" w:rsidRDefault="00BF5904" w:rsidP="00C75A79">
            <w:pPr>
              <w:snapToGrid w:val="0"/>
              <w:jc w:val="right"/>
              <w:rPr>
                <w:rFonts w:ascii="Geomanist" w:hAnsi="Geomanist"/>
                <w:b/>
                <w:sz w:val="20"/>
                <w:szCs w:val="20"/>
              </w:rPr>
            </w:pPr>
            <w:r w:rsidRPr="00BF5904">
              <w:rPr>
                <w:rFonts w:ascii="Geomanist" w:hAnsi="Geomanist"/>
                <w:b/>
                <w:sz w:val="20"/>
                <w:szCs w:val="20"/>
              </w:rPr>
              <w:t>FECHA:</w:t>
            </w:r>
          </w:p>
        </w:tc>
        <w:tc>
          <w:tcPr>
            <w:tcW w:w="998" w:type="pct"/>
            <w:gridSpan w:val="3"/>
            <w:tcBorders>
              <w:top w:val="single" w:sz="4" w:space="0" w:color="auto"/>
              <w:left w:val="single" w:sz="4" w:space="0" w:color="auto"/>
              <w:bottom w:val="single" w:sz="4" w:space="0" w:color="auto"/>
              <w:right w:val="single" w:sz="4" w:space="0" w:color="auto"/>
            </w:tcBorders>
          </w:tcPr>
          <w:p w14:paraId="4B48725D" w14:textId="77777777" w:rsidR="00BF5904" w:rsidRPr="00BF5904" w:rsidRDefault="00BF5904" w:rsidP="00C75A79">
            <w:pPr>
              <w:snapToGrid w:val="0"/>
              <w:jc w:val="both"/>
              <w:rPr>
                <w:rFonts w:ascii="Geomanist" w:hAnsi="Geomanist"/>
                <w:b/>
                <w:sz w:val="20"/>
                <w:szCs w:val="20"/>
              </w:rPr>
            </w:pPr>
          </w:p>
        </w:tc>
      </w:tr>
      <w:tr w:rsidR="00BF5904" w:rsidRPr="00BF5904" w14:paraId="22440CB2" w14:textId="77777777" w:rsidTr="00C75A79">
        <w:trPr>
          <w:cantSplit/>
          <w:trHeight w:hRule="exact" w:val="369"/>
        </w:trPr>
        <w:tc>
          <w:tcPr>
            <w:tcW w:w="918" w:type="pct"/>
            <w:gridSpan w:val="3"/>
            <w:vMerge w:val="restart"/>
            <w:tcBorders>
              <w:right w:val="single" w:sz="4" w:space="0" w:color="auto"/>
            </w:tcBorders>
          </w:tcPr>
          <w:p w14:paraId="134E57F9" w14:textId="77777777" w:rsidR="00BF5904" w:rsidRPr="00BF5904" w:rsidRDefault="00BF5904" w:rsidP="00C75A79">
            <w:pPr>
              <w:snapToGrid w:val="0"/>
              <w:jc w:val="both"/>
              <w:rPr>
                <w:rFonts w:ascii="Geomanist" w:hAnsi="Geomanist"/>
                <w:b/>
                <w:sz w:val="20"/>
                <w:szCs w:val="20"/>
              </w:rPr>
            </w:pPr>
            <w:r w:rsidRPr="00BF5904">
              <w:rPr>
                <w:rFonts w:ascii="Geomanist" w:hAnsi="Geomanist"/>
                <w:b/>
                <w:sz w:val="20"/>
                <w:szCs w:val="20"/>
              </w:rPr>
              <w:t>NOMBRE DE LA EMPRESA:</w:t>
            </w:r>
          </w:p>
        </w:tc>
        <w:tc>
          <w:tcPr>
            <w:tcW w:w="1678" w:type="pct"/>
            <w:gridSpan w:val="5"/>
            <w:vMerge w:val="restart"/>
            <w:tcBorders>
              <w:top w:val="single" w:sz="4" w:space="0" w:color="auto"/>
              <w:left w:val="single" w:sz="4" w:space="0" w:color="auto"/>
              <w:bottom w:val="single" w:sz="4" w:space="0" w:color="auto"/>
              <w:right w:val="single" w:sz="4" w:space="0" w:color="auto"/>
            </w:tcBorders>
          </w:tcPr>
          <w:p w14:paraId="3F91A9DF" w14:textId="77777777" w:rsidR="00BF5904" w:rsidRPr="00BF5904" w:rsidRDefault="00BF5904" w:rsidP="00C75A79">
            <w:pPr>
              <w:snapToGrid w:val="0"/>
              <w:jc w:val="both"/>
              <w:rPr>
                <w:rFonts w:ascii="Geomanist" w:hAnsi="Geomanist"/>
                <w:b/>
                <w:sz w:val="20"/>
                <w:szCs w:val="20"/>
              </w:rPr>
            </w:pPr>
          </w:p>
        </w:tc>
        <w:tc>
          <w:tcPr>
            <w:tcW w:w="1045" w:type="pct"/>
            <w:gridSpan w:val="4"/>
            <w:tcBorders>
              <w:top w:val="single" w:sz="4" w:space="0" w:color="auto"/>
              <w:left w:val="single" w:sz="4" w:space="0" w:color="auto"/>
              <w:bottom w:val="single" w:sz="4" w:space="0" w:color="auto"/>
              <w:right w:val="single" w:sz="4" w:space="0" w:color="auto"/>
            </w:tcBorders>
          </w:tcPr>
          <w:p w14:paraId="522EB59D" w14:textId="77777777" w:rsidR="00BF5904" w:rsidRPr="00BF5904" w:rsidRDefault="00BF5904" w:rsidP="00C75A79">
            <w:pPr>
              <w:snapToGrid w:val="0"/>
              <w:jc w:val="both"/>
              <w:rPr>
                <w:rFonts w:ascii="Geomanist" w:hAnsi="Geomanist"/>
                <w:b/>
                <w:sz w:val="20"/>
                <w:szCs w:val="20"/>
                <w:lang w:val="pt-PT"/>
              </w:rPr>
            </w:pPr>
            <w:r w:rsidRPr="00BF5904">
              <w:rPr>
                <w:rFonts w:ascii="Geomanist" w:hAnsi="Geomanist"/>
                <w:b/>
                <w:sz w:val="20"/>
                <w:szCs w:val="20"/>
              </w:rPr>
              <w:t xml:space="preserve">FABRICANTE </w:t>
            </w:r>
            <w:r w:rsidRPr="00BF5904">
              <w:rPr>
                <w:rFonts w:ascii="Geomanist" w:hAnsi="Geomanist"/>
                <w:b/>
                <w:sz w:val="20"/>
                <w:szCs w:val="20"/>
                <w:lang w:val="pt-PT"/>
              </w:rPr>
              <w:t>(  )</w:t>
            </w:r>
          </w:p>
        </w:tc>
        <w:tc>
          <w:tcPr>
            <w:tcW w:w="680" w:type="pct"/>
            <w:gridSpan w:val="3"/>
            <w:vMerge w:val="restart"/>
            <w:tcBorders>
              <w:left w:val="single" w:sz="4" w:space="0" w:color="auto"/>
              <w:right w:val="single" w:sz="4" w:space="0" w:color="auto"/>
            </w:tcBorders>
          </w:tcPr>
          <w:p w14:paraId="64FA2D90" w14:textId="77777777" w:rsidR="00BF5904" w:rsidRPr="00BF5904" w:rsidRDefault="00BF5904" w:rsidP="00C75A79">
            <w:pPr>
              <w:snapToGrid w:val="0"/>
              <w:jc w:val="both"/>
              <w:rPr>
                <w:rFonts w:ascii="Geomanist" w:hAnsi="Geomanist"/>
                <w:b/>
                <w:sz w:val="20"/>
                <w:szCs w:val="20"/>
                <w:lang w:val="pt-PT"/>
              </w:rPr>
            </w:pPr>
            <w:r w:rsidRPr="00BF5904">
              <w:rPr>
                <w:rFonts w:ascii="Geomanist" w:hAnsi="Geomanist"/>
                <w:b/>
                <w:sz w:val="20"/>
                <w:szCs w:val="20"/>
                <w:lang w:val="pt-PT"/>
              </w:rPr>
              <w:t>No. DE PREI IMSS:</w:t>
            </w:r>
          </w:p>
        </w:tc>
        <w:tc>
          <w:tcPr>
            <w:tcW w:w="680" w:type="pct"/>
            <w:vMerge w:val="restart"/>
            <w:tcBorders>
              <w:top w:val="single" w:sz="4" w:space="0" w:color="auto"/>
              <w:left w:val="single" w:sz="4" w:space="0" w:color="auto"/>
              <w:bottom w:val="single" w:sz="4" w:space="0" w:color="auto"/>
              <w:right w:val="single" w:sz="4" w:space="0" w:color="auto"/>
            </w:tcBorders>
          </w:tcPr>
          <w:p w14:paraId="6CB2CBDF" w14:textId="77777777" w:rsidR="00BF5904" w:rsidRPr="00BF5904" w:rsidRDefault="00BF5904" w:rsidP="00C75A79">
            <w:pPr>
              <w:snapToGrid w:val="0"/>
              <w:jc w:val="both"/>
              <w:rPr>
                <w:rFonts w:ascii="Geomanist" w:hAnsi="Geomanist"/>
                <w:b/>
                <w:sz w:val="20"/>
                <w:szCs w:val="20"/>
              </w:rPr>
            </w:pPr>
          </w:p>
        </w:tc>
      </w:tr>
      <w:tr w:rsidR="00BF5904" w:rsidRPr="00BF5904" w14:paraId="03D71D6A" w14:textId="77777777" w:rsidTr="00C75A79">
        <w:trPr>
          <w:cantSplit/>
          <w:trHeight w:hRule="exact" w:val="344"/>
        </w:trPr>
        <w:tc>
          <w:tcPr>
            <w:tcW w:w="918" w:type="pct"/>
            <w:gridSpan w:val="3"/>
            <w:vMerge/>
            <w:tcBorders>
              <w:right w:val="single" w:sz="4" w:space="0" w:color="auto"/>
            </w:tcBorders>
          </w:tcPr>
          <w:p w14:paraId="27A7C4AF" w14:textId="77777777" w:rsidR="00BF5904" w:rsidRPr="00BF5904" w:rsidRDefault="00BF5904" w:rsidP="00C75A79">
            <w:pPr>
              <w:snapToGrid w:val="0"/>
              <w:jc w:val="both"/>
              <w:rPr>
                <w:rFonts w:ascii="Geomanist" w:hAnsi="Geomanist"/>
                <w:b/>
                <w:sz w:val="20"/>
                <w:szCs w:val="20"/>
              </w:rPr>
            </w:pPr>
          </w:p>
        </w:tc>
        <w:tc>
          <w:tcPr>
            <w:tcW w:w="1678" w:type="pct"/>
            <w:gridSpan w:val="5"/>
            <w:vMerge/>
            <w:tcBorders>
              <w:top w:val="single" w:sz="4" w:space="0" w:color="auto"/>
              <w:left w:val="single" w:sz="4" w:space="0" w:color="auto"/>
              <w:bottom w:val="single" w:sz="4" w:space="0" w:color="auto"/>
              <w:right w:val="single" w:sz="4" w:space="0" w:color="auto"/>
            </w:tcBorders>
          </w:tcPr>
          <w:p w14:paraId="6A313401" w14:textId="77777777" w:rsidR="00BF5904" w:rsidRPr="00BF5904" w:rsidRDefault="00BF5904" w:rsidP="00C75A79">
            <w:pPr>
              <w:snapToGrid w:val="0"/>
              <w:jc w:val="both"/>
              <w:rPr>
                <w:rFonts w:ascii="Geomanist" w:hAnsi="Geomanist"/>
                <w:b/>
                <w:sz w:val="20"/>
                <w:szCs w:val="20"/>
              </w:rPr>
            </w:pPr>
          </w:p>
        </w:tc>
        <w:tc>
          <w:tcPr>
            <w:tcW w:w="1045" w:type="pct"/>
            <w:gridSpan w:val="4"/>
            <w:tcBorders>
              <w:top w:val="single" w:sz="4" w:space="0" w:color="auto"/>
              <w:left w:val="single" w:sz="4" w:space="0" w:color="auto"/>
              <w:bottom w:val="single" w:sz="4" w:space="0" w:color="auto"/>
              <w:right w:val="single" w:sz="4" w:space="0" w:color="auto"/>
            </w:tcBorders>
          </w:tcPr>
          <w:p w14:paraId="7CA500AC" w14:textId="77777777" w:rsidR="00BF5904" w:rsidRPr="00BF5904" w:rsidRDefault="00BF5904" w:rsidP="00C75A79">
            <w:pPr>
              <w:snapToGrid w:val="0"/>
              <w:jc w:val="both"/>
              <w:rPr>
                <w:rFonts w:ascii="Geomanist" w:hAnsi="Geomanist"/>
                <w:b/>
                <w:sz w:val="20"/>
                <w:szCs w:val="20"/>
              </w:rPr>
            </w:pPr>
            <w:r w:rsidRPr="00BF5904">
              <w:rPr>
                <w:rFonts w:ascii="Geomanist" w:hAnsi="Geomanist"/>
                <w:b/>
                <w:sz w:val="20"/>
                <w:szCs w:val="20"/>
                <w:lang w:val="pt-PT"/>
              </w:rPr>
              <w:t xml:space="preserve">DISTRIBUIDOR (  ) </w:t>
            </w:r>
          </w:p>
        </w:tc>
        <w:tc>
          <w:tcPr>
            <w:tcW w:w="680" w:type="pct"/>
            <w:gridSpan w:val="3"/>
            <w:vMerge/>
            <w:tcBorders>
              <w:left w:val="single" w:sz="4" w:space="0" w:color="auto"/>
              <w:right w:val="single" w:sz="4" w:space="0" w:color="auto"/>
            </w:tcBorders>
          </w:tcPr>
          <w:p w14:paraId="6117BF6B" w14:textId="77777777" w:rsidR="00BF5904" w:rsidRPr="00BF5904" w:rsidRDefault="00BF5904" w:rsidP="00C75A79">
            <w:pPr>
              <w:snapToGrid w:val="0"/>
              <w:jc w:val="both"/>
              <w:rPr>
                <w:rFonts w:ascii="Geomanist" w:hAnsi="Geomanist"/>
                <w:b/>
                <w:sz w:val="20"/>
                <w:szCs w:val="20"/>
                <w:lang w:val="pt-PT"/>
              </w:rPr>
            </w:pPr>
          </w:p>
        </w:tc>
        <w:tc>
          <w:tcPr>
            <w:tcW w:w="680" w:type="pct"/>
            <w:vMerge/>
            <w:tcBorders>
              <w:top w:val="single" w:sz="4" w:space="0" w:color="auto"/>
              <w:left w:val="single" w:sz="4" w:space="0" w:color="auto"/>
              <w:bottom w:val="single" w:sz="4" w:space="0" w:color="auto"/>
              <w:right w:val="single" w:sz="4" w:space="0" w:color="auto"/>
            </w:tcBorders>
          </w:tcPr>
          <w:p w14:paraId="67174C4D" w14:textId="77777777" w:rsidR="00BF5904" w:rsidRPr="00BF5904" w:rsidRDefault="00BF5904" w:rsidP="00C75A79">
            <w:pPr>
              <w:snapToGrid w:val="0"/>
              <w:jc w:val="both"/>
              <w:rPr>
                <w:rFonts w:ascii="Geomanist" w:hAnsi="Geomanist"/>
                <w:b/>
                <w:sz w:val="20"/>
                <w:szCs w:val="20"/>
              </w:rPr>
            </w:pPr>
          </w:p>
        </w:tc>
      </w:tr>
      <w:tr w:rsidR="00BF5904" w:rsidRPr="00BF5904" w14:paraId="106A7AC2" w14:textId="77777777" w:rsidTr="00C75A79">
        <w:trPr>
          <w:cantSplit/>
          <w:trHeight w:hRule="exact" w:val="452"/>
        </w:trPr>
        <w:tc>
          <w:tcPr>
            <w:tcW w:w="710" w:type="pct"/>
            <w:gridSpan w:val="2"/>
            <w:tcBorders>
              <w:right w:val="single" w:sz="4" w:space="0" w:color="auto"/>
            </w:tcBorders>
          </w:tcPr>
          <w:p w14:paraId="6E900D26" w14:textId="77777777" w:rsidR="00BF5904" w:rsidRPr="00BF5904" w:rsidRDefault="00BF5904" w:rsidP="00C75A79">
            <w:pPr>
              <w:snapToGrid w:val="0"/>
              <w:jc w:val="both"/>
              <w:rPr>
                <w:rFonts w:ascii="Geomanist" w:hAnsi="Geomanist"/>
                <w:b/>
                <w:sz w:val="20"/>
                <w:szCs w:val="20"/>
              </w:rPr>
            </w:pPr>
            <w:r w:rsidRPr="00BF5904">
              <w:rPr>
                <w:rFonts w:ascii="Geomanist" w:hAnsi="Geomanist"/>
                <w:b/>
                <w:sz w:val="20"/>
                <w:szCs w:val="20"/>
              </w:rPr>
              <w:t>DOMICILIO:</w:t>
            </w:r>
          </w:p>
        </w:tc>
        <w:tc>
          <w:tcPr>
            <w:tcW w:w="4290" w:type="pct"/>
            <w:gridSpan w:val="14"/>
            <w:tcBorders>
              <w:top w:val="single" w:sz="4" w:space="0" w:color="auto"/>
              <w:left w:val="single" w:sz="4" w:space="0" w:color="auto"/>
              <w:bottom w:val="single" w:sz="4" w:space="0" w:color="auto"/>
              <w:right w:val="single" w:sz="4" w:space="0" w:color="auto"/>
            </w:tcBorders>
          </w:tcPr>
          <w:p w14:paraId="27555A00" w14:textId="77777777" w:rsidR="00BF5904" w:rsidRPr="00BF5904" w:rsidRDefault="00BF5904" w:rsidP="00C75A79">
            <w:pPr>
              <w:snapToGrid w:val="0"/>
              <w:jc w:val="center"/>
              <w:rPr>
                <w:rFonts w:ascii="Geomanist" w:hAnsi="Geomanist"/>
                <w:b/>
                <w:sz w:val="20"/>
                <w:szCs w:val="20"/>
              </w:rPr>
            </w:pPr>
          </w:p>
        </w:tc>
      </w:tr>
      <w:tr w:rsidR="00BF5904" w:rsidRPr="00BF5904" w14:paraId="362D9227" w14:textId="77777777" w:rsidTr="00C75A79">
        <w:trPr>
          <w:cantSplit/>
          <w:trHeight w:hRule="exact" w:val="666"/>
        </w:trPr>
        <w:tc>
          <w:tcPr>
            <w:tcW w:w="480" w:type="pct"/>
            <w:tcBorders>
              <w:right w:val="single" w:sz="4" w:space="0" w:color="auto"/>
            </w:tcBorders>
          </w:tcPr>
          <w:p w14:paraId="5FF42643" w14:textId="77777777" w:rsidR="00BF5904" w:rsidRPr="00BF5904" w:rsidRDefault="00BF5904" w:rsidP="00C75A79">
            <w:pPr>
              <w:snapToGrid w:val="0"/>
              <w:jc w:val="both"/>
              <w:rPr>
                <w:rFonts w:ascii="Geomanist" w:hAnsi="Geomanist"/>
                <w:b/>
                <w:sz w:val="20"/>
                <w:szCs w:val="20"/>
              </w:rPr>
            </w:pPr>
            <w:r w:rsidRPr="00BF5904">
              <w:rPr>
                <w:rFonts w:ascii="Geomanist" w:hAnsi="Geomanist"/>
                <w:b/>
                <w:sz w:val="20"/>
                <w:szCs w:val="20"/>
              </w:rPr>
              <w:t>R. F. C.</w:t>
            </w:r>
          </w:p>
        </w:tc>
        <w:tc>
          <w:tcPr>
            <w:tcW w:w="767" w:type="pct"/>
            <w:gridSpan w:val="3"/>
            <w:tcBorders>
              <w:top w:val="single" w:sz="4" w:space="0" w:color="auto"/>
              <w:left w:val="single" w:sz="4" w:space="0" w:color="auto"/>
              <w:bottom w:val="single" w:sz="4" w:space="0" w:color="auto"/>
              <w:right w:val="single" w:sz="4" w:space="0" w:color="auto"/>
            </w:tcBorders>
          </w:tcPr>
          <w:p w14:paraId="346CC49D" w14:textId="77777777" w:rsidR="00BF5904" w:rsidRPr="00BF5904" w:rsidRDefault="00BF5904" w:rsidP="00C75A79">
            <w:pPr>
              <w:snapToGrid w:val="0"/>
              <w:jc w:val="both"/>
              <w:rPr>
                <w:rFonts w:ascii="Geomanist" w:hAnsi="Geomanist"/>
                <w:b/>
                <w:sz w:val="20"/>
                <w:szCs w:val="20"/>
              </w:rPr>
            </w:pPr>
          </w:p>
        </w:tc>
        <w:tc>
          <w:tcPr>
            <w:tcW w:w="340" w:type="pct"/>
            <w:gridSpan w:val="2"/>
            <w:tcBorders>
              <w:left w:val="single" w:sz="4" w:space="0" w:color="auto"/>
              <w:right w:val="single" w:sz="4" w:space="0" w:color="auto"/>
            </w:tcBorders>
          </w:tcPr>
          <w:p w14:paraId="4BBF8091" w14:textId="77777777" w:rsidR="00BF5904" w:rsidRPr="00BF5904" w:rsidRDefault="00BF5904" w:rsidP="00C75A79">
            <w:pPr>
              <w:snapToGrid w:val="0"/>
              <w:jc w:val="both"/>
              <w:rPr>
                <w:rFonts w:ascii="Geomanist" w:hAnsi="Geomanist"/>
                <w:b/>
                <w:sz w:val="20"/>
                <w:szCs w:val="20"/>
              </w:rPr>
            </w:pPr>
            <w:r w:rsidRPr="00BF5904">
              <w:rPr>
                <w:rFonts w:ascii="Geomanist" w:hAnsi="Geomanist"/>
                <w:b/>
                <w:sz w:val="20"/>
                <w:szCs w:val="20"/>
              </w:rPr>
              <w:t>TEL.:</w:t>
            </w:r>
          </w:p>
        </w:tc>
        <w:tc>
          <w:tcPr>
            <w:tcW w:w="732" w:type="pct"/>
            <w:tcBorders>
              <w:top w:val="single" w:sz="4" w:space="0" w:color="auto"/>
              <w:left w:val="single" w:sz="4" w:space="0" w:color="auto"/>
              <w:bottom w:val="single" w:sz="4" w:space="0" w:color="auto"/>
              <w:right w:val="single" w:sz="4" w:space="0" w:color="auto"/>
            </w:tcBorders>
          </w:tcPr>
          <w:p w14:paraId="0CB42A19" w14:textId="77777777" w:rsidR="00BF5904" w:rsidRPr="00BF5904" w:rsidRDefault="00BF5904" w:rsidP="00C75A79">
            <w:pPr>
              <w:snapToGrid w:val="0"/>
              <w:jc w:val="both"/>
              <w:rPr>
                <w:rFonts w:ascii="Geomanist" w:hAnsi="Geomanist"/>
                <w:b/>
                <w:sz w:val="20"/>
                <w:szCs w:val="20"/>
              </w:rPr>
            </w:pPr>
          </w:p>
        </w:tc>
        <w:tc>
          <w:tcPr>
            <w:tcW w:w="396" w:type="pct"/>
            <w:gridSpan w:val="2"/>
            <w:tcBorders>
              <w:left w:val="single" w:sz="4" w:space="0" w:color="auto"/>
              <w:right w:val="single" w:sz="4" w:space="0" w:color="auto"/>
            </w:tcBorders>
          </w:tcPr>
          <w:p w14:paraId="76BFB860" w14:textId="77777777" w:rsidR="00BF5904" w:rsidRPr="00BF5904" w:rsidRDefault="00BF5904" w:rsidP="00C75A79">
            <w:pPr>
              <w:snapToGrid w:val="0"/>
              <w:jc w:val="both"/>
              <w:rPr>
                <w:rFonts w:ascii="Geomanist" w:hAnsi="Geomanist"/>
                <w:b/>
                <w:sz w:val="20"/>
                <w:szCs w:val="20"/>
              </w:rPr>
            </w:pPr>
            <w:r w:rsidRPr="00BF5904">
              <w:rPr>
                <w:rFonts w:ascii="Geomanist" w:hAnsi="Geomanist"/>
                <w:b/>
                <w:sz w:val="20"/>
                <w:szCs w:val="20"/>
              </w:rPr>
              <w:t>FAX:</w:t>
            </w:r>
          </w:p>
        </w:tc>
        <w:tc>
          <w:tcPr>
            <w:tcW w:w="578" w:type="pct"/>
            <w:tcBorders>
              <w:top w:val="single" w:sz="4" w:space="0" w:color="auto"/>
              <w:left w:val="single" w:sz="4" w:space="0" w:color="auto"/>
              <w:bottom w:val="single" w:sz="4" w:space="0" w:color="auto"/>
              <w:right w:val="single" w:sz="4" w:space="0" w:color="auto"/>
            </w:tcBorders>
          </w:tcPr>
          <w:p w14:paraId="34113D07" w14:textId="77777777" w:rsidR="00BF5904" w:rsidRPr="00BF5904" w:rsidRDefault="00BF5904" w:rsidP="00C75A79">
            <w:pPr>
              <w:snapToGrid w:val="0"/>
              <w:ind w:right="263"/>
              <w:jc w:val="both"/>
              <w:rPr>
                <w:rFonts w:ascii="Geomanist" w:hAnsi="Geomanist"/>
                <w:b/>
                <w:sz w:val="20"/>
                <w:szCs w:val="20"/>
              </w:rPr>
            </w:pPr>
          </w:p>
        </w:tc>
        <w:tc>
          <w:tcPr>
            <w:tcW w:w="912" w:type="pct"/>
            <w:gridSpan w:val="4"/>
            <w:tcBorders>
              <w:left w:val="single" w:sz="4" w:space="0" w:color="auto"/>
              <w:right w:val="single" w:sz="4" w:space="0" w:color="auto"/>
            </w:tcBorders>
          </w:tcPr>
          <w:p w14:paraId="145EFCA7" w14:textId="77777777" w:rsidR="00BF5904" w:rsidRPr="00BF5904" w:rsidRDefault="00BF5904" w:rsidP="00C75A79">
            <w:pPr>
              <w:snapToGrid w:val="0"/>
              <w:jc w:val="both"/>
              <w:rPr>
                <w:rFonts w:ascii="Geomanist" w:hAnsi="Geomanist"/>
                <w:b/>
                <w:sz w:val="20"/>
                <w:szCs w:val="20"/>
              </w:rPr>
            </w:pPr>
            <w:r w:rsidRPr="00BF5904">
              <w:rPr>
                <w:rFonts w:ascii="Geomanist" w:hAnsi="Geomanist"/>
                <w:b/>
                <w:sz w:val="20"/>
                <w:szCs w:val="20"/>
              </w:rPr>
              <w:t>CORREO ELECTRONICO:</w:t>
            </w:r>
          </w:p>
        </w:tc>
        <w:tc>
          <w:tcPr>
            <w:tcW w:w="795" w:type="pct"/>
            <w:gridSpan w:val="2"/>
            <w:tcBorders>
              <w:top w:val="single" w:sz="4" w:space="0" w:color="auto"/>
              <w:left w:val="single" w:sz="4" w:space="0" w:color="auto"/>
              <w:bottom w:val="single" w:sz="4" w:space="0" w:color="auto"/>
              <w:right w:val="single" w:sz="4" w:space="0" w:color="auto"/>
            </w:tcBorders>
          </w:tcPr>
          <w:p w14:paraId="1B0F549C" w14:textId="77777777" w:rsidR="00BF5904" w:rsidRPr="00BF5904" w:rsidRDefault="00BF5904" w:rsidP="00C75A79">
            <w:pPr>
              <w:snapToGrid w:val="0"/>
              <w:jc w:val="both"/>
              <w:rPr>
                <w:rFonts w:ascii="Geomanist" w:hAnsi="Geomanist"/>
                <w:b/>
                <w:sz w:val="20"/>
                <w:szCs w:val="20"/>
              </w:rPr>
            </w:pPr>
          </w:p>
        </w:tc>
      </w:tr>
    </w:tbl>
    <w:p w14:paraId="0D4CC5D3" w14:textId="77777777" w:rsidR="00BF5904" w:rsidRPr="00BF5904" w:rsidRDefault="00BF5904" w:rsidP="00BF5904">
      <w:pPr>
        <w:jc w:val="both"/>
        <w:rPr>
          <w:rFonts w:ascii="Geomanist" w:hAnsi="Geomanist" w:cs="Arial"/>
          <w:b/>
          <w:sz w:val="20"/>
          <w:szCs w:val="20"/>
        </w:rPr>
      </w:pPr>
    </w:p>
    <w:p w14:paraId="554DF975" w14:textId="77777777" w:rsidR="00BF5904" w:rsidRPr="00BF5904" w:rsidRDefault="00BF5904" w:rsidP="00BF5904">
      <w:pPr>
        <w:jc w:val="both"/>
        <w:rPr>
          <w:rFonts w:ascii="Geomanist" w:hAnsi="Geomanist" w:cs="Arial"/>
          <w:b/>
          <w:sz w:val="20"/>
          <w:szCs w:val="20"/>
        </w:rPr>
      </w:pPr>
      <w:r w:rsidRPr="00BF5904">
        <w:rPr>
          <w:rFonts w:ascii="Geomanist" w:hAnsi="Geomanist" w:cs="Arial"/>
          <w:b/>
          <w:sz w:val="20"/>
          <w:szCs w:val="20"/>
        </w:rPr>
        <w:t xml:space="preserve">ESTRATIFICACIÓN: </w:t>
      </w:r>
      <w:r w:rsidRPr="00BF5904">
        <w:rPr>
          <w:rFonts w:ascii="Geomanist" w:hAnsi="Geomanist" w:cs="Arial"/>
          <w:b/>
          <w:sz w:val="20"/>
          <w:szCs w:val="20"/>
        </w:rPr>
        <w:tab/>
        <w:t>MICRO (      )</w:t>
      </w:r>
      <w:r w:rsidRPr="00BF5904">
        <w:rPr>
          <w:rFonts w:ascii="Geomanist" w:hAnsi="Geomanist" w:cs="Arial"/>
          <w:b/>
          <w:sz w:val="20"/>
          <w:szCs w:val="20"/>
        </w:rPr>
        <w:tab/>
        <w:t xml:space="preserve">PEQUENA (      ) </w:t>
      </w:r>
      <w:r w:rsidRPr="00BF5904">
        <w:rPr>
          <w:rFonts w:ascii="Geomanist" w:hAnsi="Geomanist" w:cs="Arial"/>
          <w:b/>
          <w:sz w:val="20"/>
          <w:szCs w:val="20"/>
        </w:rPr>
        <w:tab/>
        <w:t xml:space="preserve">   MEDIANA (     )</w:t>
      </w:r>
      <w:r w:rsidRPr="00BF5904">
        <w:rPr>
          <w:rFonts w:ascii="Geomanist" w:hAnsi="Geomanist" w:cs="Arial"/>
          <w:b/>
          <w:sz w:val="20"/>
          <w:szCs w:val="20"/>
        </w:rPr>
        <w:tab/>
        <w:t xml:space="preserve">      GRANDE (     )</w:t>
      </w:r>
    </w:p>
    <w:tbl>
      <w:tblPr>
        <w:tblW w:w="5000" w:type="pct"/>
        <w:tblCellMar>
          <w:left w:w="70" w:type="dxa"/>
          <w:right w:w="70" w:type="dxa"/>
        </w:tblCellMar>
        <w:tblLook w:val="04A0" w:firstRow="1" w:lastRow="0" w:firstColumn="1" w:lastColumn="0" w:noHBand="0" w:noVBand="1"/>
      </w:tblPr>
      <w:tblGrid>
        <w:gridCol w:w="980"/>
        <w:gridCol w:w="1276"/>
        <w:gridCol w:w="910"/>
        <w:gridCol w:w="1261"/>
        <w:gridCol w:w="1058"/>
        <w:gridCol w:w="1133"/>
        <w:gridCol w:w="640"/>
        <w:gridCol w:w="952"/>
        <w:gridCol w:w="1428"/>
      </w:tblGrid>
      <w:tr w:rsidR="00BF5904" w:rsidRPr="00BF5904" w14:paraId="24F1A51C" w14:textId="77777777" w:rsidTr="00C75A79">
        <w:trPr>
          <w:trHeight w:val="650"/>
          <w:tblHeader/>
        </w:trPr>
        <w:tc>
          <w:tcPr>
            <w:tcW w:w="508" w:type="pct"/>
            <w:tcBorders>
              <w:top w:val="single" w:sz="8" w:space="0" w:color="auto"/>
              <w:left w:val="single" w:sz="8" w:space="0" w:color="auto"/>
              <w:bottom w:val="single" w:sz="8" w:space="0" w:color="000000"/>
              <w:right w:val="single" w:sz="8" w:space="0" w:color="auto"/>
            </w:tcBorders>
            <w:shd w:val="clear" w:color="000000" w:fill="C2D69A"/>
            <w:vAlign w:val="center"/>
            <w:hideMark/>
          </w:tcPr>
          <w:p w14:paraId="2B67D41F"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PARTIDA</w:t>
            </w:r>
          </w:p>
        </w:tc>
        <w:tc>
          <w:tcPr>
            <w:tcW w:w="662" w:type="pct"/>
            <w:tcBorders>
              <w:top w:val="single" w:sz="8" w:space="0" w:color="auto"/>
              <w:left w:val="single" w:sz="4" w:space="0" w:color="auto"/>
              <w:bottom w:val="single" w:sz="8" w:space="0" w:color="000000"/>
              <w:right w:val="single" w:sz="8" w:space="0" w:color="auto"/>
            </w:tcBorders>
            <w:shd w:val="clear" w:color="000000" w:fill="C2D69B"/>
            <w:vAlign w:val="center"/>
            <w:hideMark/>
          </w:tcPr>
          <w:p w14:paraId="49418234"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CONCEPTO</w:t>
            </w:r>
          </w:p>
        </w:tc>
        <w:tc>
          <w:tcPr>
            <w:tcW w:w="472" w:type="pct"/>
            <w:tcBorders>
              <w:top w:val="single" w:sz="8" w:space="0" w:color="auto"/>
              <w:left w:val="single" w:sz="8" w:space="0" w:color="auto"/>
              <w:bottom w:val="single" w:sz="4" w:space="0" w:color="auto"/>
              <w:right w:val="single" w:sz="4" w:space="0" w:color="auto"/>
            </w:tcBorders>
            <w:shd w:val="clear" w:color="000000" w:fill="C2D69A"/>
            <w:vAlign w:val="center"/>
          </w:tcPr>
          <w:p w14:paraId="712CCFAB"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UNIDAD DE MEDIDA</w:t>
            </w:r>
          </w:p>
        </w:tc>
        <w:tc>
          <w:tcPr>
            <w:tcW w:w="654" w:type="pct"/>
            <w:tcBorders>
              <w:top w:val="single" w:sz="4" w:space="0" w:color="auto"/>
              <w:left w:val="single" w:sz="4" w:space="0" w:color="auto"/>
              <w:bottom w:val="single" w:sz="4" w:space="0" w:color="auto"/>
              <w:right w:val="single" w:sz="4" w:space="0" w:color="auto"/>
            </w:tcBorders>
            <w:shd w:val="clear" w:color="000000" w:fill="C2D69A"/>
            <w:vAlign w:val="center"/>
            <w:hideMark/>
          </w:tcPr>
          <w:p w14:paraId="5F27B799"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CANTIDAD REQUERIDA</w:t>
            </w:r>
          </w:p>
        </w:tc>
        <w:tc>
          <w:tcPr>
            <w:tcW w:w="549" w:type="pct"/>
            <w:tcBorders>
              <w:top w:val="single" w:sz="4" w:space="0" w:color="auto"/>
              <w:left w:val="single" w:sz="4" w:space="0" w:color="auto"/>
              <w:bottom w:val="single" w:sz="4" w:space="0" w:color="auto"/>
              <w:right w:val="single" w:sz="4" w:space="0" w:color="auto"/>
            </w:tcBorders>
            <w:shd w:val="clear" w:color="000000" w:fill="C2D69A"/>
            <w:vAlign w:val="center"/>
          </w:tcPr>
          <w:p w14:paraId="11BB58C1"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PRECIO UNITARIO</w:t>
            </w:r>
          </w:p>
        </w:tc>
        <w:tc>
          <w:tcPr>
            <w:tcW w:w="588" w:type="pct"/>
            <w:tcBorders>
              <w:top w:val="single" w:sz="4" w:space="0" w:color="auto"/>
              <w:left w:val="single" w:sz="4" w:space="0" w:color="auto"/>
              <w:bottom w:val="single" w:sz="4" w:space="0" w:color="auto"/>
              <w:right w:val="single" w:sz="4" w:space="0" w:color="auto"/>
            </w:tcBorders>
            <w:shd w:val="clear" w:color="000000" w:fill="C2D69A"/>
            <w:vAlign w:val="center"/>
          </w:tcPr>
          <w:p w14:paraId="5B48945E"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SUBTOTAL</w:t>
            </w:r>
          </w:p>
        </w:tc>
        <w:tc>
          <w:tcPr>
            <w:tcW w:w="332" w:type="pct"/>
            <w:tcBorders>
              <w:top w:val="single" w:sz="4" w:space="0" w:color="auto"/>
              <w:left w:val="single" w:sz="4" w:space="0" w:color="auto"/>
              <w:bottom w:val="single" w:sz="4" w:space="0" w:color="auto"/>
              <w:right w:val="single" w:sz="4" w:space="0" w:color="auto"/>
            </w:tcBorders>
            <w:shd w:val="clear" w:color="000000" w:fill="C2D69A"/>
            <w:vAlign w:val="center"/>
          </w:tcPr>
          <w:p w14:paraId="0A70B318"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I.V.A</w:t>
            </w:r>
          </w:p>
        </w:tc>
        <w:tc>
          <w:tcPr>
            <w:tcW w:w="494" w:type="pct"/>
            <w:tcBorders>
              <w:top w:val="single" w:sz="4" w:space="0" w:color="auto"/>
              <w:left w:val="single" w:sz="4" w:space="0" w:color="auto"/>
              <w:bottom w:val="single" w:sz="4" w:space="0" w:color="auto"/>
              <w:right w:val="single" w:sz="4" w:space="0" w:color="auto"/>
            </w:tcBorders>
            <w:shd w:val="clear" w:color="000000" w:fill="C2D69A"/>
            <w:vAlign w:val="center"/>
          </w:tcPr>
          <w:p w14:paraId="20934423"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TOTAL</w:t>
            </w:r>
          </w:p>
        </w:tc>
        <w:tc>
          <w:tcPr>
            <w:tcW w:w="741" w:type="pct"/>
            <w:tcBorders>
              <w:top w:val="single" w:sz="4" w:space="0" w:color="auto"/>
              <w:left w:val="single" w:sz="4" w:space="0" w:color="auto"/>
              <w:bottom w:val="single" w:sz="4" w:space="0" w:color="auto"/>
              <w:right w:val="single" w:sz="4" w:space="0" w:color="auto"/>
            </w:tcBorders>
            <w:shd w:val="clear" w:color="000000" w:fill="C2D69A"/>
            <w:vAlign w:val="center"/>
          </w:tcPr>
          <w:p w14:paraId="4CA9B0D4" w14:textId="77777777" w:rsidR="00BF5904" w:rsidRPr="00BF5904" w:rsidRDefault="00BF5904" w:rsidP="00C75A79">
            <w:pPr>
              <w:jc w:val="center"/>
              <w:rPr>
                <w:rFonts w:ascii="Geomanist" w:eastAsia="SimSun" w:hAnsi="Geomanist"/>
                <w:b/>
                <w:bCs/>
                <w:color w:val="000000"/>
                <w:sz w:val="20"/>
                <w:szCs w:val="20"/>
              </w:rPr>
            </w:pPr>
            <w:r w:rsidRPr="00BF5904">
              <w:rPr>
                <w:rFonts w:ascii="Geomanist" w:eastAsia="SimSun" w:hAnsi="Geomanist"/>
                <w:b/>
                <w:bCs/>
                <w:color w:val="000000"/>
                <w:sz w:val="20"/>
                <w:szCs w:val="20"/>
              </w:rPr>
              <w:t>DOCUMENTO PRESENTADO</w:t>
            </w:r>
          </w:p>
        </w:tc>
      </w:tr>
      <w:tr w:rsidR="00BF5904" w:rsidRPr="00BF5904" w14:paraId="24B8D4D2" w14:textId="77777777" w:rsidTr="00C75A79">
        <w:trPr>
          <w:trHeight w:val="283"/>
        </w:trPr>
        <w:tc>
          <w:tcPr>
            <w:tcW w:w="508" w:type="pct"/>
            <w:tcBorders>
              <w:top w:val="nil"/>
              <w:left w:val="single" w:sz="4" w:space="0" w:color="auto"/>
              <w:bottom w:val="single" w:sz="4" w:space="0" w:color="auto"/>
              <w:right w:val="single" w:sz="4" w:space="0" w:color="auto"/>
            </w:tcBorders>
            <w:shd w:val="clear" w:color="auto" w:fill="auto"/>
            <w:noWrap/>
            <w:vAlign w:val="center"/>
          </w:tcPr>
          <w:p w14:paraId="6557F2D2" w14:textId="77777777" w:rsidR="00BF5904" w:rsidRPr="00BF5904" w:rsidRDefault="00BF5904" w:rsidP="00C75A79">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7A0B3F59" w14:textId="77777777" w:rsidR="00BF5904" w:rsidRPr="00BF5904" w:rsidRDefault="00BF5904" w:rsidP="00C75A79">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1C8A2A1A" w14:textId="77777777" w:rsidR="00BF5904" w:rsidRPr="00BF5904" w:rsidRDefault="00BF5904" w:rsidP="00C75A79">
            <w:pPr>
              <w:jc w:val="center"/>
              <w:rPr>
                <w:rFonts w:ascii="Geomanist" w:eastAsia="SimSun" w:hAnsi="Geomanist" w:cs="Arial"/>
                <w:b/>
                <w:bCs/>
                <w:color w:val="000000"/>
                <w:sz w:val="20"/>
                <w:szCs w:val="20"/>
              </w:rPr>
            </w:pPr>
          </w:p>
        </w:tc>
        <w:tc>
          <w:tcPr>
            <w:tcW w:w="6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7DE927" w14:textId="77777777" w:rsidR="00BF5904" w:rsidRPr="00BF5904" w:rsidRDefault="00BF5904" w:rsidP="00C75A79">
            <w:pPr>
              <w:jc w:val="center"/>
              <w:rPr>
                <w:rFonts w:ascii="Geomanist" w:eastAsia="SimSun" w:hAnsi="Geomanist" w:cs="Arial"/>
                <w:b/>
                <w:bCs/>
                <w:color w:val="000000"/>
                <w:sz w:val="20"/>
                <w:szCs w:val="20"/>
              </w:rPr>
            </w:pPr>
          </w:p>
        </w:tc>
        <w:tc>
          <w:tcPr>
            <w:tcW w:w="549" w:type="pct"/>
            <w:tcBorders>
              <w:top w:val="single" w:sz="4" w:space="0" w:color="auto"/>
              <w:left w:val="single" w:sz="4" w:space="0" w:color="auto"/>
              <w:bottom w:val="single" w:sz="4" w:space="0" w:color="auto"/>
              <w:right w:val="single" w:sz="4" w:space="0" w:color="auto"/>
            </w:tcBorders>
          </w:tcPr>
          <w:p w14:paraId="286688D6" w14:textId="77777777" w:rsidR="00BF5904" w:rsidRPr="00BF5904" w:rsidRDefault="00BF5904" w:rsidP="00C75A79">
            <w:pPr>
              <w:jc w:val="center"/>
              <w:rPr>
                <w:rFonts w:ascii="Geomanist" w:eastAsia="SimSun" w:hAnsi="Geomanist" w:cs="Arial"/>
                <w:b/>
                <w:bCs/>
                <w:color w:val="000000"/>
                <w:sz w:val="20"/>
                <w:szCs w:val="20"/>
              </w:rPr>
            </w:pPr>
          </w:p>
        </w:tc>
        <w:tc>
          <w:tcPr>
            <w:tcW w:w="588" w:type="pct"/>
            <w:tcBorders>
              <w:top w:val="single" w:sz="4" w:space="0" w:color="auto"/>
              <w:left w:val="single" w:sz="4" w:space="0" w:color="auto"/>
              <w:bottom w:val="single" w:sz="4" w:space="0" w:color="auto"/>
              <w:right w:val="single" w:sz="4" w:space="0" w:color="auto"/>
            </w:tcBorders>
          </w:tcPr>
          <w:p w14:paraId="009C4367" w14:textId="77777777" w:rsidR="00BF5904" w:rsidRPr="00BF5904" w:rsidRDefault="00BF5904" w:rsidP="00C75A79">
            <w:pPr>
              <w:jc w:val="center"/>
              <w:rPr>
                <w:rFonts w:ascii="Geomanist" w:eastAsia="SimSun" w:hAnsi="Geomanist" w:cs="Arial"/>
                <w:b/>
                <w:bCs/>
                <w:color w:val="000000"/>
                <w:sz w:val="20"/>
                <w:szCs w:val="20"/>
              </w:rPr>
            </w:pPr>
          </w:p>
        </w:tc>
        <w:tc>
          <w:tcPr>
            <w:tcW w:w="332" w:type="pct"/>
            <w:tcBorders>
              <w:top w:val="single" w:sz="4" w:space="0" w:color="auto"/>
              <w:left w:val="single" w:sz="4" w:space="0" w:color="auto"/>
              <w:bottom w:val="single" w:sz="4" w:space="0" w:color="auto"/>
              <w:right w:val="single" w:sz="4" w:space="0" w:color="auto"/>
            </w:tcBorders>
          </w:tcPr>
          <w:p w14:paraId="05D268BD" w14:textId="77777777" w:rsidR="00BF5904" w:rsidRPr="00BF5904" w:rsidRDefault="00BF5904" w:rsidP="00C75A79">
            <w:pPr>
              <w:jc w:val="center"/>
              <w:rPr>
                <w:rFonts w:ascii="Geomanist" w:eastAsia="SimSun" w:hAnsi="Geomanist" w:cs="Arial"/>
                <w:b/>
                <w:bCs/>
                <w:color w:val="000000"/>
                <w:sz w:val="20"/>
                <w:szCs w:val="20"/>
              </w:rPr>
            </w:pPr>
          </w:p>
        </w:tc>
        <w:tc>
          <w:tcPr>
            <w:tcW w:w="494" w:type="pct"/>
            <w:tcBorders>
              <w:top w:val="single" w:sz="4" w:space="0" w:color="auto"/>
              <w:left w:val="single" w:sz="4" w:space="0" w:color="auto"/>
              <w:bottom w:val="single" w:sz="4" w:space="0" w:color="auto"/>
              <w:right w:val="single" w:sz="4" w:space="0" w:color="auto"/>
            </w:tcBorders>
          </w:tcPr>
          <w:p w14:paraId="7408D57A" w14:textId="77777777" w:rsidR="00BF5904" w:rsidRPr="00BF5904" w:rsidRDefault="00BF5904" w:rsidP="00C75A79">
            <w:pPr>
              <w:jc w:val="center"/>
              <w:rPr>
                <w:rFonts w:ascii="Geomanist" w:eastAsia="SimSun" w:hAnsi="Geomanist" w:cs="Arial"/>
                <w:b/>
                <w:bCs/>
                <w:color w:val="000000"/>
                <w:sz w:val="20"/>
                <w:szCs w:val="20"/>
              </w:rPr>
            </w:pPr>
          </w:p>
        </w:tc>
        <w:tc>
          <w:tcPr>
            <w:tcW w:w="741" w:type="pct"/>
            <w:tcBorders>
              <w:top w:val="single" w:sz="4" w:space="0" w:color="auto"/>
              <w:left w:val="single" w:sz="4" w:space="0" w:color="auto"/>
              <w:bottom w:val="single" w:sz="4" w:space="0" w:color="auto"/>
              <w:right w:val="single" w:sz="4" w:space="0" w:color="auto"/>
            </w:tcBorders>
          </w:tcPr>
          <w:p w14:paraId="11F2A536" w14:textId="77777777" w:rsidR="00BF5904" w:rsidRPr="00BF5904" w:rsidRDefault="00BF5904" w:rsidP="00C75A79">
            <w:pPr>
              <w:jc w:val="center"/>
              <w:rPr>
                <w:rFonts w:ascii="Geomanist" w:eastAsia="SimSun" w:hAnsi="Geomanist" w:cs="Arial"/>
                <w:b/>
                <w:bCs/>
                <w:color w:val="000000"/>
                <w:sz w:val="20"/>
                <w:szCs w:val="20"/>
              </w:rPr>
            </w:pPr>
          </w:p>
        </w:tc>
      </w:tr>
      <w:tr w:rsidR="00BF5904" w:rsidRPr="00BF5904" w14:paraId="780630FB" w14:textId="77777777" w:rsidTr="00C75A79">
        <w:trPr>
          <w:trHeight w:val="30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61C94BB6" w14:textId="77777777" w:rsidR="00BF5904" w:rsidRPr="00BF5904" w:rsidRDefault="00BF5904" w:rsidP="00C75A79">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026A73A4" w14:textId="77777777" w:rsidR="00BF5904" w:rsidRPr="00BF5904" w:rsidRDefault="00BF5904" w:rsidP="00C75A79">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48E30AFB" w14:textId="77777777" w:rsidR="00BF5904" w:rsidRPr="00BF5904" w:rsidRDefault="00BF5904" w:rsidP="00C75A79">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49292610" w14:textId="77777777" w:rsidR="00BF5904" w:rsidRPr="00BF5904" w:rsidRDefault="00BF5904" w:rsidP="00C75A79">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4AA60D5A" w14:textId="77777777" w:rsidR="00BF5904" w:rsidRPr="00BF5904" w:rsidRDefault="00BF5904" w:rsidP="00C75A79">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5F5B11DB" w14:textId="77777777" w:rsidR="00BF5904" w:rsidRPr="00BF5904" w:rsidRDefault="00BF5904" w:rsidP="00C75A79">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43C8E86F" w14:textId="77777777" w:rsidR="00BF5904" w:rsidRPr="00BF5904" w:rsidRDefault="00BF5904" w:rsidP="00C75A79">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0D89B70E" w14:textId="77777777" w:rsidR="00BF5904" w:rsidRPr="00BF5904" w:rsidRDefault="00BF5904" w:rsidP="00C75A79">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7740478F" w14:textId="77777777" w:rsidR="00BF5904" w:rsidRPr="00BF5904" w:rsidRDefault="00BF5904" w:rsidP="00C75A79">
            <w:pPr>
              <w:jc w:val="center"/>
              <w:rPr>
                <w:rFonts w:ascii="Geomanist" w:eastAsia="SimSun" w:hAnsi="Geomanist" w:cs="Arial"/>
                <w:b/>
                <w:bCs/>
                <w:color w:val="000000"/>
                <w:sz w:val="20"/>
                <w:szCs w:val="20"/>
              </w:rPr>
            </w:pPr>
          </w:p>
        </w:tc>
      </w:tr>
      <w:tr w:rsidR="00BF5904" w:rsidRPr="00BF5904" w14:paraId="47369CE5" w14:textId="77777777" w:rsidTr="00C75A79">
        <w:trPr>
          <w:trHeight w:val="6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20920D17" w14:textId="77777777" w:rsidR="00BF5904" w:rsidRPr="00BF5904" w:rsidRDefault="00BF5904" w:rsidP="00C75A79">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1E0CE13B" w14:textId="77777777" w:rsidR="00BF5904" w:rsidRPr="00BF5904" w:rsidRDefault="00BF5904" w:rsidP="00C75A79">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6F295EE9" w14:textId="77777777" w:rsidR="00BF5904" w:rsidRPr="00BF5904" w:rsidRDefault="00BF5904" w:rsidP="00C75A79">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212AFF9E" w14:textId="77777777" w:rsidR="00BF5904" w:rsidRPr="00BF5904" w:rsidRDefault="00BF5904" w:rsidP="00C75A79">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099D0454" w14:textId="77777777" w:rsidR="00BF5904" w:rsidRPr="00BF5904" w:rsidRDefault="00BF5904" w:rsidP="00C75A79">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67BBB945" w14:textId="77777777" w:rsidR="00BF5904" w:rsidRPr="00BF5904" w:rsidRDefault="00BF5904" w:rsidP="00C75A79">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27BF7318" w14:textId="77777777" w:rsidR="00BF5904" w:rsidRPr="00BF5904" w:rsidRDefault="00BF5904" w:rsidP="00C75A79">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76AF3030" w14:textId="77777777" w:rsidR="00BF5904" w:rsidRPr="00BF5904" w:rsidRDefault="00BF5904" w:rsidP="00C75A79">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39D8A4CA" w14:textId="77777777" w:rsidR="00BF5904" w:rsidRPr="00BF5904" w:rsidRDefault="00BF5904" w:rsidP="00C75A79">
            <w:pPr>
              <w:jc w:val="center"/>
              <w:rPr>
                <w:rFonts w:ascii="Geomanist" w:eastAsia="SimSun" w:hAnsi="Geomanist" w:cs="Arial"/>
                <w:b/>
                <w:bCs/>
                <w:color w:val="000000"/>
                <w:sz w:val="20"/>
                <w:szCs w:val="20"/>
              </w:rPr>
            </w:pPr>
          </w:p>
        </w:tc>
      </w:tr>
      <w:tr w:rsidR="00BF5904" w:rsidRPr="00BF5904" w14:paraId="08965C55" w14:textId="77777777" w:rsidTr="00C75A79">
        <w:trPr>
          <w:trHeight w:val="205"/>
        </w:trPr>
        <w:tc>
          <w:tcPr>
            <w:tcW w:w="508" w:type="pct"/>
            <w:tcBorders>
              <w:top w:val="nil"/>
              <w:left w:val="single" w:sz="4" w:space="0" w:color="auto"/>
              <w:bottom w:val="single" w:sz="4" w:space="0" w:color="auto"/>
              <w:right w:val="single" w:sz="4" w:space="0" w:color="auto"/>
            </w:tcBorders>
            <w:shd w:val="clear" w:color="auto" w:fill="auto"/>
            <w:noWrap/>
            <w:vAlign w:val="center"/>
          </w:tcPr>
          <w:p w14:paraId="152DC9EC" w14:textId="77777777" w:rsidR="00BF5904" w:rsidRPr="00BF5904" w:rsidRDefault="00BF5904" w:rsidP="00C75A79">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18A81636" w14:textId="77777777" w:rsidR="00BF5904" w:rsidRPr="00BF5904" w:rsidRDefault="00BF5904" w:rsidP="00C75A79">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0368E74B" w14:textId="77777777" w:rsidR="00BF5904" w:rsidRPr="00BF5904" w:rsidRDefault="00BF5904" w:rsidP="00C75A79">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6A7DDB45" w14:textId="77777777" w:rsidR="00BF5904" w:rsidRPr="00BF5904" w:rsidRDefault="00BF5904" w:rsidP="00C75A79">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7951DAA7" w14:textId="77777777" w:rsidR="00BF5904" w:rsidRPr="00BF5904" w:rsidRDefault="00BF5904" w:rsidP="00C75A79">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543E2AC8" w14:textId="77777777" w:rsidR="00BF5904" w:rsidRPr="00BF5904" w:rsidRDefault="00BF5904" w:rsidP="00C75A79">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6FFC2D12" w14:textId="77777777" w:rsidR="00BF5904" w:rsidRPr="00BF5904" w:rsidRDefault="00BF5904" w:rsidP="00C75A79">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3859F364" w14:textId="77777777" w:rsidR="00BF5904" w:rsidRPr="00BF5904" w:rsidRDefault="00BF5904" w:rsidP="00C75A79">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6DDB13E0" w14:textId="77777777" w:rsidR="00BF5904" w:rsidRPr="00BF5904" w:rsidRDefault="00BF5904" w:rsidP="00C75A79">
            <w:pPr>
              <w:jc w:val="center"/>
              <w:rPr>
                <w:rFonts w:ascii="Geomanist" w:eastAsia="SimSun" w:hAnsi="Geomanist" w:cs="Arial"/>
                <w:b/>
                <w:bCs/>
                <w:color w:val="000000"/>
                <w:sz w:val="20"/>
                <w:szCs w:val="20"/>
              </w:rPr>
            </w:pPr>
          </w:p>
        </w:tc>
      </w:tr>
      <w:tr w:rsidR="00BF5904" w:rsidRPr="00BF5904" w14:paraId="27C8C12D" w14:textId="77777777" w:rsidTr="00C75A79">
        <w:trPr>
          <w:trHeight w:val="30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0B60E859" w14:textId="77777777" w:rsidR="00BF5904" w:rsidRPr="00BF5904" w:rsidRDefault="00BF5904" w:rsidP="00C75A79">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1FBE4C0A" w14:textId="77777777" w:rsidR="00BF5904" w:rsidRPr="00BF5904" w:rsidRDefault="00BF5904" w:rsidP="00C75A79">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6277EDD4" w14:textId="77777777" w:rsidR="00BF5904" w:rsidRPr="00BF5904" w:rsidRDefault="00BF5904" w:rsidP="00C75A79">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2DEBC1D2" w14:textId="77777777" w:rsidR="00BF5904" w:rsidRPr="00BF5904" w:rsidRDefault="00BF5904" w:rsidP="00C75A79">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48776D08" w14:textId="77777777" w:rsidR="00BF5904" w:rsidRPr="00BF5904" w:rsidRDefault="00BF5904" w:rsidP="00C75A79">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289E9A48" w14:textId="77777777" w:rsidR="00BF5904" w:rsidRPr="00BF5904" w:rsidRDefault="00BF5904" w:rsidP="00C75A79">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679195D8" w14:textId="77777777" w:rsidR="00BF5904" w:rsidRPr="00BF5904" w:rsidRDefault="00BF5904" w:rsidP="00C75A79">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572E6991" w14:textId="77777777" w:rsidR="00BF5904" w:rsidRPr="00BF5904" w:rsidRDefault="00BF5904" w:rsidP="00C75A79">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2A94C14F" w14:textId="77777777" w:rsidR="00BF5904" w:rsidRPr="00BF5904" w:rsidRDefault="00BF5904" w:rsidP="00C75A79">
            <w:pPr>
              <w:jc w:val="center"/>
              <w:rPr>
                <w:rFonts w:ascii="Geomanist" w:eastAsia="SimSun" w:hAnsi="Geomanist" w:cs="Arial"/>
                <w:b/>
                <w:bCs/>
                <w:color w:val="000000"/>
                <w:sz w:val="20"/>
                <w:szCs w:val="20"/>
              </w:rPr>
            </w:pPr>
          </w:p>
        </w:tc>
      </w:tr>
      <w:tr w:rsidR="00BF5904" w:rsidRPr="00BF5904" w14:paraId="34F1386D" w14:textId="77777777" w:rsidTr="00C75A79">
        <w:trPr>
          <w:trHeight w:val="30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5BA7AE24" w14:textId="77777777" w:rsidR="00BF5904" w:rsidRPr="00BF5904" w:rsidRDefault="00BF5904" w:rsidP="00C75A79">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vAlign w:val="center"/>
          </w:tcPr>
          <w:p w14:paraId="4AD09044" w14:textId="77777777" w:rsidR="00BF5904" w:rsidRPr="00BF5904" w:rsidRDefault="00BF5904" w:rsidP="00C75A79">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3E3B5DD7" w14:textId="77777777" w:rsidR="00BF5904" w:rsidRPr="00BF5904" w:rsidRDefault="00BF5904" w:rsidP="00C75A79">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068BD27B" w14:textId="77777777" w:rsidR="00BF5904" w:rsidRPr="00BF5904" w:rsidRDefault="00BF5904" w:rsidP="00C75A79">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3D167633" w14:textId="77777777" w:rsidR="00BF5904" w:rsidRPr="00BF5904" w:rsidRDefault="00BF5904" w:rsidP="00C75A79">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21C1613D" w14:textId="77777777" w:rsidR="00BF5904" w:rsidRPr="00BF5904" w:rsidRDefault="00BF5904" w:rsidP="00C75A79">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12BC2B6B" w14:textId="77777777" w:rsidR="00BF5904" w:rsidRPr="00BF5904" w:rsidRDefault="00BF5904" w:rsidP="00C75A79">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57DA5B92" w14:textId="77777777" w:rsidR="00BF5904" w:rsidRPr="00BF5904" w:rsidRDefault="00BF5904" w:rsidP="00C75A79">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6EF7D69D" w14:textId="77777777" w:rsidR="00BF5904" w:rsidRPr="00BF5904" w:rsidRDefault="00BF5904" w:rsidP="00C75A79">
            <w:pPr>
              <w:jc w:val="center"/>
              <w:rPr>
                <w:rFonts w:ascii="Geomanist" w:eastAsia="SimSun" w:hAnsi="Geomanist" w:cs="Arial"/>
                <w:b/>
                <w:bCs/>
                <w:color w:val="000000"/>
                <w:sz w:val="20"/>
                <w:szCs w:val="20"/>
              </w:rPr>
            </w:pPr>
          </w:p>
        </w:tc>
      </w:tr>
      <w:tr w:rsidR="00BF5904" w:rsidRPr="00BF5904" w14:paraId="26DDFB2D" w14:textId="77777777" w:rsidTr="00C75A79">
        <w:trPr>
          <w:trHeight w:val="30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250E7CF3" w14:textId="77777777" w:rsidR="00BF5904" w:rsidRPr="00BF5904" w:rsidRDefault="00BF5904" w:rsidP="00C75A79">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vAlign w:val="center"/>
          </w:tcPr>
          <w:p w14:paraId="37DC3777" w14:textId="77777777" w:rsidR="00BF5904" w:rsidRPr="00BF5904" w:rsidRDefault="00BF5904" w:rsidP="00C75A79">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1648AB1F" w14:textId="77777777" w:rsidR="00BF5904" w:rsidRPr="00BF5904" w:rsidRDefault="00BF5904" w:rsidP="00C75A79">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7CD98466" w14:textId="77777777" w:rsidR="00BF5904" w:rsidRPr="00BF5904" w:rsidRDefault="00BF5904" w:rsidP="00C75A79">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3FB9297A" w14:textId="77777777" w:rsidR="00BF5904" w:rsidRPr="00BF5904" w:rsidRDefault="00BF5904" w:rsidP="00C75A79">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3D7900DE" w14:textId="77777777" w:rsidR="00BF5904" w:rsidRPr="00BF5904" w:rsidRDefault="00BF5904" w:rsidP="00C75A79">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66230C6E" w14:textId="77777777" w:rsidR="00BF5904" w:rsidRPr="00BF5904" w:rsidRDefault="00BF5904" w:rsidP="00C75A79">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69A0B23F" w14:textId="77777777" w:rsidR="00BF5904" w:rsidRPr="00BF5904" w:rsidRDefault="00BF5904" w:rsidP="00C75A79">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54E3165E" w14:textId="77777777" w:rsidR="00BF5904" w:rsidRPr="00BF5904" w:rsidRDefault="00BF5904" w:rsidP="00C75A79">
            <w:pPr>
              <w:jc w:val="center"/>
              <w:rPr>
                <w:rFonts w:ascii="Geomanist" w:eastAsia="SimSun" w:hAnsi="Geomanist" w:cs="Arial"/>
                <w:b/>
                <w:bCs/>
                <w:color w:val="000000"/>
                <w:sz w:val="20"/>
                <w:szCs w:val="20"/>
              </w:rPr>
            </w:pPr>
          </w:p>
        </w:tc>
      </w:tr>
    </w:tbl>
    <w:p w14:paraId="2CF9BDD2" w14:textId="77777777" w:rsidR="00BF5904" w:rsidRPr="00BF5904" w:rsidRDefault="00BF5904" w:rsidP="00BF5904">
      <w:pPr>
        <w:shd w:val="clear" w:color="auto" w:fill="FFFFFF"/>
        <w:contextualSpacing/>
        <w:jc w:val="both"/>
        <w:rPr>
          <w:rFonts w:ascii="Geomanist" w:hAnsi="Geomanist" w:cs="Arial"/>
          <w:b/>
          <w:sz w:val="20"/>
          <w:szCs w:val="20"/>
        </w:rPr>
      </w:pPr>
    </w:p>
    <w:p w14:paraId="03F3FE47" w14:textId="77777777" w:rsidR="00BF5904" w:rsidRPr="00BF5904" w:rsidRDefault="00BF5904" w:rsidP="00BF5904">
      <w:pPr>
        <w:shd w:val="clear" w:color="auto" w:fill="FFFFFF"/>
        <w:contextualSpacing/>
        <w:jc w:val="both"/>
        <w:rPr>
          <w:rFonts w:ascii="Geomanist" w:hAnsi="Geomanist" w:cs="Arial"/>
          <w:b/>
          <w:sz w:val="20"/>
          <w:szCs w:val="20"/>
        </w:rPr>
      </w:pPr>
      <w:r w:rsidRPr="00BF5904">
        <w:rPr>
          <w:rFonts w:ascii="Geomanist" w:hAnsi="Geomanist" w:cs="Arial"/>
          <w:b/>
          <w:sz w:val="20"/>
          <w:szCs w:val="20"/>
        </w:rPr>
        <w:t xml:space="preserve">NOTAS: </w:t>
      </w:r>
      <w:r w:rsidRPr="00BF5904">
        <w:rPr>
          <w:rFonts w:ascii="Geomanist" w:hAnsi="Geomanist" w:cs="Arial"/>
          <w:sz w:val="20"/>
          <w:szCs w:val="20"/>
        </w:rPr>
        <w:t xml:space="preserve">REQUISITAR LOS ESPACIOS VACÍOS.  </w:t>
      </w:r>
    </w:p>
    <w:p w14:paraId="426EAD3B" w14:textId="77777777" w:rsidR="00BF5904" w:rsidRPr="00BF5904" w:rsidRDefault="00BF5904" w:rsidP="00BF5904">
      <w:pPr>
        <w:shd w:val="clear" w:color="auto" w:fill="FFFFFF"/>
        <w:contextualSpacing/>
        <w:jc w:val="both"/>
        <w:rPr>
          <w:rFonts w:ascii="Geomanist" w:hAnsi="Geomanist" w:cs="Arial"/>
          <w:sz w:val="20"/>
          <w:szCs w:val="20"/>
        </w:rPr>
      </w:pPr>
      <w:r w:rsidRPr="00BF5904">
        <w:rPr>
          <w:rFonts w:ascii="Geomanist" w:hAnsi="Geomanist" w:cs="Arial"/>
          <w:sz w:val="20"/>
          <w:szCs w:val="20"/>
        </w:rPr>
        <w:t>De conformidad con lo dispuesto por el numeral 29 del “ACUERDO POR EL QUE SE ESTABLECEN LAS DISPOSICIONES QUE DEBERÁN OBSERVAR PARA LA UTILIZACIÓN DEL SISTEMA ELECTRÓNICO DE INFORMACIÓN PÚBLICA GUBERNAMENTAL, DENOMINADO COMPRANET”, acepto que, en caso de que el archivo electrónico en el que se contengan las proposiciones y/o demás información no pueda abrirse por tener algún virus informático o por cualquier otra causa ajena a la entidad, éstas se tendrán como no presentadas.”</w:t>
      </w:r>
    </w:p>
    <w:p w14:paraId="2AF87632" w14:textId="77777777" w:rsidR="00BF5904" w:rsidRPr="00BF5904" w:rsidRDefault="00BF5904" w:rsidP="00BF5904">
      <w:pPr>
        <w:shd w:val="clear" w:color="auto" w:fill="FFFFFF"/>
        <w:contextualSpacing/>
        <w:jc w:val="both"/>
        <w:rPr>
          <w:rFonts w:ascii="Geomanist" w:hAnsi="Geomanist" w:cs="Arial"/>
          <w:sz w:val="20"/>
          <w:szCs w:val="20"/>
        </w:rPr>
      </w:pPr>
    </w:p>
    <w:p w14:paraId="18DB13C3" w14:textId="77777777" w:rsidR="00BF5904" w:rsidRPr="00BF5904" w:rsidRDefault="00BF5904" w:rsidP="00BF5904">
      <w:pPr>
        <w:shd w:val="clear" w:color="auto" w:fill="FFFFFF"/>
        <w:contextualSpacing/>
        <w:jc w:val="both"/>
        <w:rPr>
          <w:rFonts w:ascii="Geomanist" w:hAnsi="Geomanist" w:cs="Arial"/>
          <w:sz w:val="20"/>
          <w:szCs w:val="20"/>
        </w:rPr>
      </w:pPr>
      <w:r w:rsidRPr="00BF5904">
        <w:rPr>
          <w:rFonts w:ascii="Geomanist" w:hAnsi="Geomanist" w:cs="Arial"/>
          <w:sz w:val="20"/>
          <w:szCs w:val="20"/>
        </w:rPr>
        <w:t>En el caso que el IMSS me otorgue la demanda solicitada, me obligo en nombre de mi representada a suscribir el contrato que se derive conforme a lo establecido en el Anexo Técnico y los Términos y Condiciones, establecidos en este procedimiento de contratación.</w:t>
      </w:r>
    </w:p>
    <w:p w14:paraId="2791F124" w14:textId="77777777" w:rsidR="00BF5904" w:rsidRPr="00BF5904" w:rsidRDefault="00BF5904" w:rsidP="00BF5904">
      <w:pPr>
        <w:shd w:val="clear" w:color="auto" w:fill="FFFFFF"/>
        <w:contextualSpacing/>
        <w:jc w:val="both"/>
        <w:rPr>
          <w:rFonts w:ascii="Geomanist" w:hAnsi="Geomanist" w:cs="Arial"/>
          <w:sz w:val="20"/>
          <w:szCs w:val="20"/>
        </w:rPr>
      </w:pPr>
    </w:p>
    <w:p w14:paraId="24DCA8A1" w14:textId="77777777" w:rsidR="00BF5904" w:rsidRPr="00BF5904" w:rsidRDefault="00BF5904" w:rsidP="00BF5904">
      <w:pPr>
        <w:shd w:val="clear" w:color="auto" w:fill="FFFFFF"/>
        <w:contextualSpacing/>
        <w:jc w:val="both"/>
        <w:rPr>
          <w:rFonts w:ascii="Geomanist" w:hAnsi="Geomanist" w:cs="Arial"/>
          <w:sz w:val="20"/>
          <w:szCs w:val="20"/>
        </w:rPr>
      </w:pPr>
      <w:r w:rsidRPr="00BF5904">
        <w:rPr>
          <w:rFonts w:ascii="Geomanist" w:eastAsia="SimSun" w:hAnsi="Geomanist" w:cs="Arial"/>
          <w:color w:val="000000"/>
          <w:sz w:val="20"/>
          <w:szCs w:val="20"/>
        </w:rPr>
        <w:t>Manifiesto Bajo Protesta de Decir Verdad, que los productos ofertados se ajustan, exacta y cabalmente a la descripción solicitada en el presente procedimiento de contratación.</w:t>
      </w:r>
    </w:p>
    <w:p w14:paraId="403DE4F5" w14:textId="77777777" w:rsidR="00BF5904" w:rsidRPr="00BF5904" w:rsidRDefault="00BF5904" w:rsidP="00BF5904">
      <w:pPr>
        <w:jc w:val="center"/>
        <w:rPr>
          <w:rFonts w:ascii="Geomanist" w:eastAsia="SimSun" w:hAnsi="Geomanist" w:cs="Arial"/>
          <w:sz w:val="20"/>
          <w:szCs w:val="20"/>
          <w:lang w:eastAsia="ar-SA"/>
        </w:rPr>
      </w:pPr>
    </w:p>
    <w:p w14:paraId="218554E3" w14:textId="77777777" w:rsidR="00BF5904" w:rsidRPr="00BF5904" w:rsidRDefault="00BF5904" w:rsidP="00BF5904">
      <w:pPr>
        <w:jc w:val="center"/>
        <w:rPr>
          <w:rFonts w:ascii="Geomanist" w:eastAsia="SimSun" w:hAnsi="Geomanist" w:cs="Arial"/>
          <w:sz w:val="22"/>
          <w:szCs w:val="22"/>
          <w:lang w:eastAsia="ar-SA"/>
        </w:rPr>
      </w:pPr>
    </w:p>
    <w:p w14:paraId="13163FB1" w14:textId="77777777" w:rsidR="00BF5904" w:rsidRPr="00BF5904" w:rsidRDefault="00BF5904" w:rsidP="00BF5904">
      <w:pPr>
        <w:jc w:val="center"/>
        <w:rPr>
          <w:rFonts w:ascii="Geomanist" w:eastAsia="SimSun" w:hAnsi="Geomanist" w:cs="Arial"/>
          <w:b/>
          <w:sz w:val="22"/>
          <w:szCs w:val="22"/>
        </w:rPr>
      </w:pPr>
      <w:r w:rsidRPr="00BF5904">
        <w:rPr>
          <w:rFonts w:ascii="Geomanist" w:eastAsia="SimSun" w:hAnsi="Geomanist" w:cs="Arial"/>
          <w:sz w:val="22"/>
          <w:szCs w:val="22"/>
          <w:lang w:eastAsia="ar-SA"/>
        </w:rPr>
        <w:t>A T E N T A M E N T E</w:t>
      </w:r>
    </w:p>
    <w:p w14:paraId="579617C1" w14:textId="77777777" w:rsidR="00BF5904" w:rsidRPr="00BF5904" w:rsidRDefault="00BF5904" w:rsidP="00BF5904">
      <w:pPr>
        <w:snapToGrid w:val="0"/>
        <w:rPr>
          <w:rFonts w:ascii="Geomanist" w:eastAsia="SimSun" w:hAnsi="Geomanist" w:cs="Arial"/>
          <w:b/>
          <w:bCs/>
          <w:sz w:val="22"/>
          <w:szCs w:val="22"/>
        </w:rPr>
      </w:pPr>
    </w:p>
    <w:p w14:paraId="01A345E8" w14:textId="0204806A" w:rsidR="00BF5904" w:rsidRPr="00BF5904" w:rsidRDefault="00BF5904" w:rsidP="00BF5904">
      <w:pPr>
        <w:snapToGrid w:val="0"/>
        <w:jc w:val="center"/>
        <w:rPr>
          <w:rFonts w:ascii="Geomanist" w:eastAsia="SimSun" w:hAnsi="Geomanist" w:cs="Arial"/>
          <w:sz w:val="22"/>
          <w:szCs w:val="22"/>
          <w:lang w:eastAsia="ar-SA"/>
        </w:rPr>
      </w:pPr>
      <w:r w:rsidRPr="00BF5904">
        <w:rPr>
          <w:rFonts w:ascii="Geomanist" w:eastAsia="SimSun" w:hAnsi="Geomanist" w:cs="Arial"/>
          <w:sz w:val="22"/>
          <w:szCs w:val="22"/>
          <w:lang w:eastAsia="ar-SA"/>
        </w:rPr>
        <w:t>Representante Legal</w:t>
      </w:r>
    </w:p>
    <w:p w14:paraId="7C8FA307" w14:textId="77777777" w:rsidR="00127828" w:rsidRPr="00BF5904" w:rsidRDefault="00127828" w:rsidP="00BF5904">
      <w:pPr>
        <w:spacing w:line="240" w:lineRule="atLeast"/>
        <w:ind w:right="-93"/>
        <w:jc w:val="both"/>
        <w:rPr>
          <w:rFonts w:ascii="Geomanist" w:eastAsia="Calibri" w:hAnsi="Geomanist"/>
          <w:b/>
          <w:sz w:val="22"/>
          <w:szCs w:val="22"/>
        </w:rPr>
      </w:pPr>
    </w:p>
    <w:sectPr w:rsidR="00127828" w:rsidRPr="00BF5904" w:rsidSect="00EC7275">
      <w:headerReference w:type="default" r:id="rId12"/>
      <w:footerReference w:type="default" r:id="rId13"/>
      <w:pgSz w:w="12240" w:h="15840"/>
      <w:pgMar w:top="2342" w:right="104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782BE" w14:textId="77777777" w:rsidR="00F300B7" w:rsidRDefault="00F300B7" w:rsidP="00A73D65">
      <w:r>
        <w:separator/>
      </w:r>
    </w:p>
  </w:endnote>
  <w:endnote w:type="continuationSeparator" w:id="0">
    <w:p w14:paraId="65821CE1" w14:textId="77777777" w:rsidR="00F300B7" w:rsidRDefault="00F300B7"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MS PMincho"/>
    <w:panose1 w:val="00000000000000000000"/>
    <w:charset w:val="80"/>
    <w:family w:val="roman"/>
    <w:notTrueType/>
    <w:pitch w:val="default"/>
  </w:font>
  <w:font w:name="Montserrat">
    <w:altName w:val="Calibri"/>
    <w:panose1 w:val="00000500000000000000"/>
    <w:charset w:val="00"/>
    <w:family w:val="auto"/>
    <w:pitch w:val="variable"/>
    <w:sig w:usb0="2000020F" w:usb1="00000003" w:usb2="00000000" w:usb3="00000000" w:csb0="00000197" w:csb1="00000000"/>
  </w:font>
  <w:font w:name="Geomanist">
    <w:altName w:val="Calibri"/>
    <w:panose1 w:val="02000503000000020004"/>
    <w:charset w:val="00"/>
    <w:family w:val="modern"/>
    <w:notTrueType/>
    <w:pitch w:val="variable"/>
    <w:sig w:usb0="A000002F" w:usb1="1000004A" w:usb2="00000000" w:usb3="00000000" w:csb0="00000193" w:csb1="00000000"/>
  </w:font>
  <w:font w:name="SimSun">
    <w:altName w:val="宋体"/>
    <w:panose1 w:val="02010600030101010101"/>
    <w:charset w:val="86"/>
    <w:family w:val="auto"/>
    <w:pitch w:val="variable"/>
    <w:sig w:usb0="00000003" w:usb1="288F0000" w:usb2="00000016" w:usb3="00000000" w:csb0="00040001" w:csb1="00000000"/>
  </w:font>
  <w:font w:name="Geomanist Medium">
    <w:panose1 w:val="00000000000000000000"/>
    <w:charset w:val="00"/>
    <w:family w:val="modern"/>
    <w:notTrueType/>
    <w:pitch w:val="variable"/>
    <w:sig w:usb0="A000002F" w:usb1="1000004A" w:usb2="00000000" w:usb3="00000000" w:csb0="00000193"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91D03" w14:textId="78EB8046" w:rsidR="00A73D65" w:rsidRDefault="00787215">
    <w:pPr>
      <w:pStyle w:val="Piedepgina"/>
    </w:pPr>
    <w:del w:id="1" w:author="Itzel Isaura Baca Ibarra" w:date="2024-11-11T13:27:00Z">
      <w:r w:rsidDel="00B21098">
        <w:rPr>
          <w:noProof/>
          <w:lang w:val="es-MX" w:eastAsia="es-MX"/>
        </w:rPr>
        <mc:AlternateContent>
          <mc:Choice Requires="wps">
            <w:drawing>
              <wp:anchor distT="0" distB="0" distL="114300" distR="114300" simplePos="0" relativeHeight="251660288" behindDoc="0" locked="0" layoutInCell="1" allowOverlap="1" wp14:anchorId="3AB611B6" wp14:editId="1A792F99">
                <wp:simplePos x="0" y="0"/>
                <wp:positionH relativeFrom="column">
                  <wp:posOffset>1989068</wp:posOffset>
                </wp:positionH>
                <wp:positionV relativeFrom="paragraph">
                  <wp:posOffset>198948</wp:posOffset>
                </wp:positionV>
                <wp:extent cx="906449" cy="209550"/>
                <wp:effectExtent l="0" t="0" r="0" b="0"/>
                <wp:wrapNone/>
                <wp:docPr id="1317256523" name="Cuadro de texto 3"/>
                <wp:cNvGraphicFramePr/>
                <a:graphic xmlns:a="http://schemas.openxmlformats.org/drawingml/2006/main">
                  <a:graphicData uri="http://schemas.microsoft.com/office/word/2010/wordprocessingShape">
                    <wps:wsp>
                      <wps:cNvSpPr txBox="1"/>
                      <wps:spPr>
                        <a:xfrm>
                          <a:off x="0" y="0"/>
                          <a:ext cx="906449" cy="209550"/>
                        </a:xfrm>
                        <a:prstGeom prst="rect">
                          <a:avLst/>
                        </a:prstGeom>
                        <a:noFill/>
                        <a:ln w="6350">
                          <a:noFill/>
                        </a:ln>
                      </wps:spPr>
                      <wps:txbx>
                        <w:txbxContent>
                          <w:p w14:paraId="46BE186C" w14:textId="28D408E7" w:rsidR="000F5B74" w:rsidRPr="005C25F3" w:rsidRDefault="00B21098" w:rsidP="00787215">
                            <w:pPr>
                              <w:ind w:right="-431"/>
                              <w:jc w:val="center"/>
                              <w:rPr>
                                <w:rFonts w:ascii="Geomanist Medium" w:hAnsi="Geomanist Medium"/>
                                <w:color w:val="4D192A"/>
                                <w:sz w:val="13"/>
                                <w:szCs w:val="13"/>
                              </w:rPr>
                            </w:pPr>
                            <w:r w:rsidRPr="000F5B74">
                              <w:rPr>
                                <w:rFonts w:ascii="Geomanist Medium" w:hAnsi="Geomanist Medium"/>
                                <w:color w:val="4D192A"/>
                                <w:sz w:val="13"/>
                                <w:szCs w:val="13"/>
                              </w:rPr>
                              <w:t>Página</w:t>
                            </w:r>
                            <w:r w:rsidR="000F5B74" w:rsidRPr="000F5B74">
                              <w:rPr>
                                <w:rFonts w:ascii="Geomanist Medium" w:hAnsi="Geomanist Medium"/>
                                <w:color w:val="4D192A"/>
                                <w:sz w:val="13"/>
                                <w:szCs w:val="13"/>
                              </w:rPr>
                              <w:t xml:space="preserve"> </w:t>
                            </w:r>
                            <w:r w:rsidR="000F5B74" w:rsidRPr="000F5B74">
                              <w:rPr>
                                <w:rFonts w:ascii="Geomanist Medium" w:hAnsi="Geomanist Medium"/>
                                <w:b/>
                                <w:bCs/>
                                <w:color w:val="4D192A"/>
                                <w:sz w:val="13"/>
                                <w:szCs w:val="13"/>
                              </w:rPr>
                              <w:fldChar w:fldCharType="begin"/>
                            </w:r>
                            <w:r w:rsidR="000F5B74" w:rsidRPr="000F5B74">
                              <w:rPr>
                                <w:rFonts w:ascii="Geomanist Medium" w:hAnsi="Geomanist Medium"/>
                                <w:b/>
                                <w:bCs/>
                                <w:color w:val="4D192A"/>
                                <w:sz w:val="13"/>
                                <w:szCs w:val="13"/>
                              </w:rPr>
                              <w:instrText>PAGE  \* Arabic  \* MERGEFORMAT</w:instrText>
                            </w:r>
                            <w:r w:rsidR="000F5B74" w:rsidRPr="000F5B74">
                              <w:rPr>
                                <w:rFonts w:ascii="Geomanist Medium" w:hAnsi="Geomanist Medium"/>
                                <w:b/>
                                <w:bCs/>
                                <w:color w:val="4D192A"/>
                                <w:sz w:val="13"/>
                                <w:szCs w:val="13"/>
                              </w:rPr>
                              <w:fldChar w:fldCharType="separate"/>
                            </w:r>
                            <w:r w:rsidR="00470059">
                              <w:rPr>
                                <w:rFonts w:ascii="Geomanist Medium" w:hAnsi="Geomanist Medium"/>
                                <w:b/>
                                <w:bCs/>
                                <w:noProof/>
                                <w:color w:val="4D192A"/>
                                <w:sz w:val="13"/>
                                <w:szCs w:val="13"/>
                              </w:rPr>
                              <w:t>9</w:t>
                            </w:r>
                            <w:r w:rsidR="000F5B74" w:rsidRPr="000F5B74">
                              <w:rPr>
                                <w:rFonts w:ascii="Geomanist Medium" w:hAnsi="Geomanist Medium"/>
                                <w:b/>
                                <w:bCs/>
                                <w:color w:val="4D192A"/>
                                <w:sz w:val="13"/>
                                <w:szCs w:val="13"/>
                              </w:rPr>
                              <w:fldChar w:fldCharType="end"/>
                            </w:r>
                            <w:r w:rsidR="000F5B74" w:rsidRPr="000F5B74">
                              <w:rPr>
                                <w:rFonts w:ascii="Geomanist Medium" w:hAnsi="Geomanist Medium"/>
                                <w:color w:val="4D192A"/>
                                <w:sz w:val="13"/>
                                <w:szCs w:val="13"/>
                              </w:rPr>
                              <w:t xml:space="preserve"> de </w:t>
                            </w:r>
                            <w:r w:rsidR="000F5B74" w:rsidRPr="000F5B74">
                              <w:rPr>
                                <w:rFonts w:ascii="Geomanist Medium" w:hAnsi="Geomanist Medium"/>
                                <w:b/>
                                <w:bCs/>
                                <w:color w:val="4D192A"/>
                                <w:sz w:val="13"/>
                                <w:szCs w:val="13"/>
                              </w:rPr>
                              <w:fldChar w:fldCharType="begin"/>
                            </w:r>
                            <w:r w:rsidR="000F5B74" w:rsidRPr="000F5B74">
                              <w:rPr>
                                <w:rFonts w:ascii="Geomanist Medium" w:hAnsi="Geomanist Medium"/>
                                <w:b/>
                                <w:bCs/>
                                <w:color w:val="4D192A"/>
                                <w:sz w:val="13"/>
                                <w:szCs w:val="13"/>
                              </w:rPr>
                              <w:instrText>NUMPAGES  \* Arabic  \* MERGEFORMAT</w:instrText>
                            </w:r>
                            <w:r w:rsidR="000F5B74" w:rsidRPr="000F5B74">
                              <w:rPr>
                                <w:rFonts w:ascii="Geomanist Medium" w:hAnsi="Geomanist Medium"/>
                                <w:b/>
                                <w:bCs/>
                                <w:color w:val="4D192A"/>
                                <w:sz w:val="13"/>
                                <w:szCs w:val="13"/>
                              </w:rPr>
                              <w:fldChar w:fldCharType="separate"/>
                            </w:r>
                            <w:r w:rsidR="00470059">
                              <w:rPr>
                                <w:rFonts w:ascii="Geomanist Medium" w:hAnsi="Geomanist Medium"/>
                                <w:b/>
                                <w:bCs/>
                                <w:noProof/>
                                <w:color w:val="4D192A"/>
                                <w:sz w:val="13"/>
                                <w:szCs w:val="13"/>
                              </w:rPr>
                              <w:t>9</w:t>
                            </w:r>
                            <w:r w:rsidR="000F5B74" w:rsidRPr="000F5B74">
                              <w:rPr>
                                <w:rFonts w:ascii="Geomanist Medium" w:hAnsi="Geomanist Medium"/>
                                <w:b/>
                                <w:bCs/>
                                <w:color w:val="4D192A"/>
                                <w:sz w:val="13"/>
                                <w:szCs w:val="13"/>
                              </w:rPr>
                              <w:fldChar w:fldCharType="end"/>
                            </w:r>
                          </w:p>
                          <w:p w14:paraId="05BBCA38" w14:textId="3272B1AF" w:rsidR="000F5B74" w:rsidRPr="005C25F3" w:rsidDel="00B21098" w:rsidRDefault="000F5B74" w:rsidP="00B21098">
                            <w:pPr>
                              <w:rPr>
                                <w:del w:id="2" w:author="Itzel Isaura Baca Ibarra" w:date="2024-11-11T13:27:00Z"/>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7" type="#_x0000_t202" style="position:absolute;margin-left:156.6pt;margin-top:15.65pt;width:71.3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" filled="f" stroked="f" strokeweight=".5pt">
                <v:textbox>
                  <w:txbxContent>
                    <w:p w14:paraId="46BE186C" w14:textId="28D408E7" w:rsidR="000F5B74" w:rsidRPr="005C25F3" w:rsidRDefault="00B21098" w:rsidP="00787215">
                      <w:pPr>
                        <w:ind w:right="-431"/>
                        <w:jc w:val="center"/>
                        <w:rPr>
                          <w:rFonts w:ascii="Geomanist Medium" w:hAnsi="Geomanist Medium"/>
                          <w:color w:val="4D192A"/>
                          <w:sz w:val="13"/>
                          <w:szCs w:val="13"/>
                        </w:rPr>
                      </w:pPr>
                      <w:r w:rsidRPr="000F5B74">
                        <w:rPr>
                          <w:rFonts w:ascii="Geomanist Medium" w:hAnsi="Geomanist Medium"/>
                          <w:color w:val="4D192A"/>
                          <w:sz w:val="13"/>
                          <w:szCs w:val="13"/>
                        </w:rPr>
                        <w:t>Página</w:t>
                      </w:r>
                      <w:r w:rsidR="000F5B74" w:rsidRPr="000F5B74">
                        <w:rPr>
                          <w:rFonts w:ascii="Geomanist Medium" w:hAnsi="Geomanist Medium"/>
                          <w:color w:val="4D192A"/>
                          <w:sz w:val="13"/>
                          <w:szCs w:val="13"/>
                        </w:rPr>
                        <w:t xml:space="preserve"> </w:t>
                      </w:r>
                      <w:r w:rsidR="000F5B74" w:rsidRPr="000F5B74">
                        <w:rPr>
                          <w:rFonts w:ascii="Geomanist Medium" w:hAnsi="Geomanist Medium"/>
                          <w:b/>
                          <w:bCs/>
                          <w:color w:val="4D192A"/>
                          <w:sz w:val="13"/>
                          <w:szCs w:val="13"/>
                        </w:rPr>
                        <w:fldChar w:fldCharType="begin"/>
                      </w:r>
                      <w:r w:rsidR="000F5B74" w:rsidRPr="000F5B74">
                        <w:rPr>
                          <w:rFonts w:ascii="Geomanist Medium" w:hAnsi="Geomanist Medium"/>
                          <w:b/>
                          <w:bCs/>
                          <w:color w:val="4D192A"/>
                          <w:sz w:val="13"/>
                          <w:szCs w:val="13"/>
                        </w:rPr>
                        <w:instrText>PAGE  \* Arabic  \* MERGEFORMAT</w:instrText>
                      </w:r>
                      <w:r w:rsidR="000F5B74" w:rsidRPr="000F5B74">
                        <w:rPr>
                          <w:rFonts w:ascii="Geomanist Medium" w:hAnsi="Geomanist Medium"/>
                          <w:b/>
                          <w:bCs/>
                          <w:color w:val="4D192A"/>
                          <w:sz w:val="13"/>
                          <w:szCs w:val="13"/>
                        </w:rPr>
                        <w:fldChar w:fldCharType="separate"/>
                      </w:r>
                      <w:r w:rsidR="00470059">
                        <w:rPr>
                          <w:rFonts w:ascii="Geomanist Medium" w:hAnsi="Geomanist Medium"/>
                          <w:b/>
                          <w:bCs/>
                          <w:noProof/>
                          <w:color w:val="4D192A"/>
                          <w:sz w:val="13"/>
                          <w:szCs w:val="13"/>
                        </w:rPr>
                        <w:t>9</w:t>
                      </w:r>
                      <w:r w:rsidR="000F5B74" w:rsidRPr="000F5B74">
                        <w:rPr>
                          <w:rFonts w:ascii="Geomanist Medium" w:hAnsi="Geomanist Medium"/>
                          <w:b/>
                          <w:bCs/>
                          <w:color w:val="4D192A"/>
                          <w:sz w:val="13"/>
                          <w:szCs w:val="13"/>
                        </w:rPr>
                        <w:fldChar w:fldCharType="end"/>
                      </w:r>
                      <w:r w:rsidR="000F5B74" w:rsidRPr="000F5B74">
                        <w:rPr>
                          <w:rFonts w:ascii="Geomanist Medium" w:hAnsi="Geomanist Medium"/>
                          <w:color w:val="4D192A"/>
                          <w:sz w:val="13"/>
                          <w:szCs w:val="13"/>
                        </w:rPr>
                        <w:t xml:space="preserve"> de </w:t>
                      </w:r>
                      <w:r w:rsidR="000F5B74" w:rsidRPr="000F5B74">
                        <w:rPr>
                          <w:rFonts w:ascii="Geomanist Medium" w:hAnsi="Geomanist Medium"/>
                          <w:b/>
                          <w:bCs/>
                          <w:color w:val="4D192A"/>
                          <w:sz w:val="13"/>
                          <w:szCs w:val="13"/>
                        </w:rPr>
                        <w:fldChar w:fldCharType="begin"/>
                      </w:r>
                      <w:r w:rsidR="000F5B74" w:rsidRPr="000F5B74">
                        <w:rPr>
                          <w:rFonts w:ascii="Geomanist Medium" w:hAnsi="Geomanist Medium"/>
                          <w:b/>
                          <w:bCs/>
                          <w:color w:val="4D192A"/>
                          <w:sz w:val="13"/>
                          <w:szCs w:val="13"/>
                        </w:rPr>
                        <w:instrText>NUMPAGES  \* Arabic  \* MERGEFORMAT</w:instrText>
                      </w:r>
                      <w:r w:rsidR="000F5B74" w:rsidRPr="000F5B74">
                        <w:rPr>
                          <w:rFonts w:ascii="Geomanist Medium" w:hAnsi="Geomanist Medium"/>
                          <w:b/>
                          <w:bCs/>
                          <w:color w:val="4D192A"/>
                          <w:sz w:val="13"/>
                          <w:szCs w:val="13"/>
                        </w:rPr>
                        <w:fldChar w:fldCharType="separate"/>
                      </w:r>
                      <w:r w:rsidR="00470059">
                        <w:rPr>
                          <w:rFonts w:ascii="Geomanist Medium" w:hAnsi="Geomanist Medium"/>
                          <w:b/>
                          <w:bCs/>
                          <w:noProof/>
                          <w:color w:val="4D192A"/>
                          <w:sz w:val="13"/>
                          <w:szCs w:val="13"/>
                        </w:rPr>
                        <w:t>9</w:t>
                      </w:r>
                      <w:r w:rsidR="000F5B74" w:rsidRPr="000F5B74">
                        <w:rPr>
                          <w:rFonts w:ascii="Geomanist Medium" w:hAnsi="Geomanist Medium"/>
                          <w:b/>
                          <w:bCs/>
                          <w:color w:val="4D192A"/>
                          <w:sz w:val="13"/>
                          <w:szCs w:val="13"/>
                        </w:rPr>
                        <w:fldChar w:fldCharType="end"/>
                      </w:r>
                    </w:p>
                    <w:p w14:paraId="05BBCA38" w14:textId="3272B1AF" w:rsidR="000F5B74" w:rsidRPr="005C25F3" w:rsidDel="00B21098" w:rsidRDefault="000F5B74" w:rsidP="00B21098">
                      <w:pPr>
                        <w:rPr>
                          <w:del w:id="3" w:author="Itzel Isaura Baca Ibarra" w:date="2024-11-11T13:27:00Z"/>
                          <w:sz w:val="13"/>
                          <w:szCs w:val="13"/>
                        </w:rPr>
                      </w:pPr>
                    </w:p>
                  </w:txbxContent>
                </v:textbox>
              </v:shape>
            </w:pict>
          </mc:Fallback>
        </mc:AlternateContent>
      </w:r>
    </w:del>
    <w:r w:rsidR="000F5B74">
      <w:rPr>
        <w:noProof/>
        <w:lang w:val="es-MX" w:eastAsia="es-MX"/>
      </w:rPr>
      <mc:AlternateContent>
        <mc:Choice Requires="wps">
          <w:drawing>
            <wp:anchor distT="0" distB="0" distL="114300" distR="114300" simplePos="0" relativeHeight="251656192" behindDoc="0" locked="0" layoutInCell="1" allowOverlap="1" wp14:anchorId="391FC72E" wp14:editId="348D450E">
              <wp:simplePos x="0" y="0"/>
              <wp:positionH relativeFrom="column">
                <wp:posOffset>-213360</wp:posOffset>
              </wp:positionH>
              <wp:positionV relativeFrom="paragraph">
                <wp:posOffset>-145415</wp:posOffset>
              </wp:positionV>
              <wp:extent cx="5372100" cy="29464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372100" cy="294640"/>
                      </a:xfrm>
                      <a:prstGeom prst="rect">
                        <a:avLst/>
                      </a:prstGeom>
                      <a:noFill/>
                      <a:ln w="6350">
                        <a:noFill/>
                      </a:ln>
                    </wps:spPr>
                    <wps:txbx>
                      <w:txbxContent>
                        <w:p w14:paraId="2DDF4581" w14:textId="77777777" w:rsidR="00D86BA3" w:rsidRPr="00D86BA3" w:rsidRDefault="00D86BA3" w:rsidP="00D86BA3">
                          <w:pPr>
                            <w:jc w:val="center"/>
                            <w:rPr>
                              <w:rFonts w:ascii="Geomanist Medium" w:hAnsi="Geomanist Medium"/>
                              <w:color w:val="4D192A"/>
                              <w:sz w:val="13"/>
                              <w:szCs w:val="13"/>
                            </w:rPr>
                          </w:pPr>
                          <w:r w:rsidRPr="00D86BA3">
                            <w:rPr>
                              <w:rFonts w:ascii="Geomanist Medium" w:hAnsi="Geomanist Medium"/>
                              <w:color w:val="4D192A"/>
                              <w:sz w:val="13"/>
                              <w:szCs w:val="13"/>
                            </w:rPr>
                            <w:t>Av. Cuauhtémoc #33 Col. Doctores -Edificio Anexo Hospital de Oftalmología, C.M.N. S XXI,  Alcaldía Cuauhtémoc, C. P. 06720,</w:t>
                          </w:r>
                        </w:p>
                        <w:p w14:paraId="697A37E8" w14:textId="611DF060" w:rsidR="00D86BA3" w:rsidRPr="00101C8A" w:rsidRDefault="00D86BA3" w:rsidP="00D86BA3">
                          <w:pPr>
                            <w:jc w:val="center"/>
                            <w:rPr>
                              <w:rFonts w:ascii="Geomanist Medium" w:hAnsi="Geomanist Medium"/>
                              <w:color w:val="4D192A"/>
                              <w:sz w:val="13"/>
                              <w:szCs w:val="13"/>
                              <w:lang w:val="en-US"/>
                            </w:rPr>
                          </w:pPr>
                          <w:r w:rsidRPr="00101C8A">
                            <w:rPr>
                              <w:rFonts w:ascii="Geomanist Medium" w:hAnsi="Geomanist Medium"/>
                              <w:color w:val="4D192A"/>
                              <w:sz w:val="13"/>
                              <w:szCs w:val="13"/>
                              <w:lang w:val="en-US"/>
                            </w:rPr>
                            <w:t>CDMX. Tel. (55) 5726 6900, Ext. 21865 www.imss.gob.mx</w:t>
                          </w:r>
                        </w:p>
                        <w:p w14:paraId="18D71277" w14:textId="77777777" w:rsidR="00B87C85" w:rsidRPr="00D86BA3" w:rsidRDefault="00B87C85" w:rsidP="000F5B74">
                          <w:pPr>
                            <w:jc w:val="center"/>
                            <w:rPr>
                              <w:sz w:val="13"/>
                              <w:szCs w:val="13"/>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6.8pt;margin-top:-11.45pt;width:423pt;height:2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" filled="f" stroked="f" strokeweight=".5pt">
              <v:textbox>
                <w:txbxContent>
                  <w:p w14:paraId="2DDF4581" w14:textId="77777777" w:rsidR="00D86BA3" w:rsidRPr="00D86BA3" w:rsidRDefault="00D86BA3" w:rsidP="00D86BA3">
                    <w:pPr>
                      <w:jc w:val="center"/>
                      <w:rPr>
                        <w:rFonts w:ascii="Geomanist Medium" w:hAnsi="Geomanist Medium"/>
                        <w:color w:val="4D192A"/>
                        <w:sz w:val="13"/>
                        <w:szCs w:val="13"/>
                      </w:rPr>
                    </w:pPr>
                    <w:r w:rsidRPr="00D86BA3">
                      <w:rPr>
                        <w:rFonts w:ascii="Geomanist Medium" w:hAnsi="Geomanist Medium"/>
                        <w:color w:val="4D192A"/>
                        <w:sz w:val="13"/>
                        <w:szCs w:val="13"/>
                      </w:rPr>
                      <w:t>Av. Cuauhtémoc #33 Col. Doctores -Edificio Anexo Hospital de Oftalmología, C.M.N. S XXI,  Alcaldía Cuauhtémoc, C. P. 06720,</w:t>
                    </w:r>
                  </w:p>
                  <w:p w14:paraId="697A37E8" w14:textId="611DF060" w:rsidR="00D86BA3" w:rsidRPr="00101C8A" w:rsidRDefault="00D86BA3" w:rsidP="00D86BA3">
                    <w:pPr>
                      <w:jc w:val="center"/>
                      <w:rPr>
                        <w:rFonts w:ascii="Geomanist Medium" w:hAnsi="Geomanist Medium"/>
                        <w:color w:val="4D192A"/>
                        <w:sz w:val="13"/>
                        <w:szCs w:val="13"/>
                        <w:lang w:val="en-US"/>
                      </w:rPr>
                    </w:pPr>
                    <w:r w:rsidRPr="00101C8A">
                      <w:rPr>
                        <w:rFonts w:ascii="Geomanist Medium" w:hAnsi="Geomanist Medium"/>
                        <w:color w:val="4D192A"/>
                        <w:sz w:val="13"/>
                        <w:szCs w:val="13"/>
                        <w:lang w:val="en-US"/>
                      </w:rPr>
                      <w:t>CDMX. Tel. (55) 5726 6900, Ext. 21865 www.imss.gob.mx</w:t>
                    </w:r>
                  </w:p>
                  <w:p w14:paraId="18D71277" w14:textId="77777777" w:rsidR="00B87C85" w:rsidRPr="00D86BA3" w:rsidRDefault="00B87C85" w:rsidP="000F5B74">
                    <w:pPr>
                      <w:jc w:val="center"/>
                      <w:rPr>
                        <w:sz w:val="13"/>
                        <w:szCs w:val="13"/>
                        <w:lang w:val="en-US"/>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3C1A4" w14:textId="77777777" w:rsidR="00F300B7" w:rsidRDefault="00F300B7" w:rsidP="00A73D65">
      <w:r>
        <w:separator/>
      </w:r>
    </w:p>
  </w:footnote>
  <w:footnote w:type="continuationSeparator" w:id="0">
    <w:p w14:paraId="294EA8A3" w14:textId="77777777" w:rsidR="00F300B7" w:rsidRDefault="00F300B7"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1E181" w14:textId="645F15BB" w:rsidR="00A73D65" w:rsidRDefault="00FA1218" w:rsidP="00B62584">
    <w:pPr>
      <w:pStyle w:val="Encabezado"/>
      <w:tabs>
        <w:tab w:val="clear" w:pos="4419"/>
        <w:tab w:val="clear" w:pos="8838"/>
        <w:tab w:val="left" w:pos="750"/>
      </w:tabs>
    </w:pPr>
    <w:r>
      <w:rPr>
        <w:noProof/>
        <w:lang w:val="es-MX" w:eastAsia="es-MX"/>
      </w:rPr>
      <w:drawing>
        <wp:anchor distT="0" distB="0" distL="114300" distR="114300" simplePos="0" relativeHeight="251658240" behindDoc="1" locked="0" layoutInCell="1" allowOverlap="1" wp14:anchorId="45888DF5" wp14:editId="5B4A8F6A">
          <wp:simplePos x="0" y="0"/>
          <wp:positionH relativeFrom="column">
            <wp:posOffset>-1020758</wp:posOffset>
          </wp:positionH>
          <wp:positionV relativeFrom="paragraph">
            <wp:posOffset>-426464</wp:posOffset>
          </wp:positionV>
          <wp:extent cx="7564581" cy="10056800"/>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602888" cy="10107728"/>
                  </a:xfrm>
                  <a:prstGeom prst="rect">
                    <a:avLst/>
                  </a:prstGeom>
                </pic:spPr>
              </pic:pic>
            </a:graphicData>
          </a:graphic>
          <wp14:sizeRelH relativeFrom="page">
            <wp14:pctWidth>0</wp14:pctWidth>
          </wp14:sizeRelH>
          <wp14:sizeRelV relativeFrom="page">
            <wp14:pctHeight>0</wp14:pctHeight>
          </wp14:sizeRelV>
        </wp:anchor>
      </w:drawing>
    </w:r>
    <w:r w:rsidR="00B6258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433"/>
    <w:multiLevelType w:val="hybridMultilevel"/>
    <w:tmpl w:val="6C18529A"/>
    <w:lvl w:ilvl="0" w:tplc="080A000F">
      <w:start w:val="1"/>
      <w:numFmt w:val="decimal"/>
      <w:lvlText w:val="%1."/>
      <w:lvlJc w:val="left"/>
      <w:pPr>
        <w:ind w:left="360" w:hanging="360"/>
      </w:pPr>
      <w:rPr>
        <w:rFonts w:hint="default"/>
        <w:b/>
        <w:i w:val="0"/>
      </w:rPr>
    </w:lvl>
    <w:lvl w:ilvl="1" w:tplc="1BF264B0">
      <w:start w:val="1"/>
      <w:numFmt w:val="lowerLetter"/>
      <w:lvlText w:val="%2."/>
      <w:lvlJc w:val="left"/>
      <w:pPr>
        <w:ind w:left="1080" w:hanging="360"/>
      </w:pPr>
      <w:rPr>
        <w:lang w:val="es-ES"/>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09BF0CB5"/>
    <w:multiLevelType w:val="hybridMultilevel"/>
    <w:tmpl w:val="6C4AB5F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nsid w:val="0A0F1AAE"/>
    <w:multiLevelType w:val="hybridMultilevel"/>
    <w:tmpl w:val="D53ABECA"/>
    <w:lvl w:ilvl="0" w:tplc="F80A26A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47E649D"/>
    <w:multiLevelType w:val="hybridMultilevel"/>
    <w:tmpl w:val="3B441074"/>
    <w:lvl w:ilvl="0" w:tplc="080A000B">
      <w:start w:val="1"/>
      <w:numFmt w:val="bullet"/>
      <w:lvlText w:val=""/>
      <w:lvlJc w:val="left"/>
      <w:pPr>
        <w:ind w:left="1344" w:hanging="360"/>
      </w:pPr>
      <w:rPr>
        <w:rFonts w:ascii="Wingdings" w:hAnsi="Wingdings" w:hint="default"/>
      </w:rPr>
    </w:lvl>
    <w:lvl w:ilvl="1" w:tplc="080A0003">
      <w:start w:val="1"/>
      <w:numFmt w:val="bullet"/>
      <w:lvlText w:val="o"/>
      <w:lvlJc w:val="left"/>
      <w:pPr>
        <w:ind w:left="2064" w:hanging="360"/>
      </w:pPr>
      <w:rPr>
        <w:rFonts w:ascii="Courier New" w:hAnsi="Courier New" w:cs="Courier New" w:hint="default"/>
      </w:rPr>
    </w:lvl>
    <w:lvl w:ilvl="2" w:tplc="080A0005">
      <w:start w:val="1"/>
      <w:numFmt w:val="bullet"/>
      <w:lvlText w:val=""/>
      <w:lvlJc w:val="left"/>
      <w:pPr>
        <w:ind w:left="2784" w:hanging="360"/>
      </w:pPr>
      <w:rPr>
        <w:rFonts w:ascii="Wingdings" w:hAnsi="Wingdings" w:hint="default"/>
      </w:rPr>
    </w:lvl>
    <w:lvl w:ilvl="3" w:tplc="080A0001">
      <w:start w:val="1"/>
      <w:numFmt w:val="bullet"/>
      <w:lvlText w:val=""/>
      <w:lvlJc w:val="left"/>
      <w:pPr>
        <w:ind w:left="3504" w:hanging="360"/>
      </w:pPr>
      <w:rPr>
        <w:rFonts w:ascii="Symbol" w:hAnsi="Symbol" w:hint="default"/>
      </w:rPr>
    </w:lvl>
    <w:lvl w:ilvl="4" w:tplc="080A0003">
      <w:start w:val="1"/>
      <w:numFmt w:val="bullet"/>
      <w:lvlText w:val="o"/>
      <w:lvlJc w:val="left"/>
      <w:pPr>
        <w:ind w:left="4224" w:hanging="360"/>
      </w:pPr>
      <w:rPr>
        <w:rFonts w:ascii="Courier New" w:hAnsi="Courier New" w:cs="Courier New" w:hint="default"/>
      </w:rPr>
    </w:lvl>
    <w:lvl w:ilvl="5" w:tplc="080A0005">
      <w:start w:val="1"/>
      <w:numFmt w:val="bullet"/>
      <w:lvlText w:val=""/>
      <w:lvlJc w:val="left"/>
      <w:pPr>
        <w:ind w:left="4944" w:hanging="360"/>
      </w:pPr>
      <w:rPr>
        <w:rFonts w:ascii="Wingdings" w:hAnsi="Wingdings" w:hint="default"/>
      </w:rPr>
    </w:lvl>
    <w:lvl w:ilvl="6" w:tplc="080A0001">
      <w:start w:val="1"/>
      <w:numFmt w:val="bullet"/>
      <w:lvlText w:val=""/>
      <w:lvlJc w:val="left"/>
      <w:pPr>
        <w:ind w:left="5664" w:hanging="360"/>
      </w:pPr>
      <w:rPr>
        <w:rFonts w:ascii="Symbol" w:hAnsi="Symbol" w:hint="default"/>
      </w:rPr>
    </w:lvl>
    <w:lvl w:ilvl="7" w:tplc="080A0003">
      <w:start w:val="1"/>
      <w:numFmt w:val="bullet"/>
      <w:lvlText w:val="o"/>
      <w:lvlJc w:val="left"/>
      <w:pPr>
        <w:ind w:left="6384" w:hanging="360"/>
      </w:pPr>
      <w:rPr>
        <w:rFonts w:ascii="Courier New" w:hAnsi="Courier New" w:cs="Courier New" w:hint="default"/>
      </w:rPr>
    </w:lvl>
    <w:lvl w:ilvl="8" w:tplc="080A0005">
      <w:start w:val="1"/>
      <w:numFmt w:val="bullet"/>
      <w:lvlText w:val=""/>
      <w:lvlJc w:val="left"/>
      <w:pPr>
        <w:ind w:left="7104" w:hanging="360"/>
      </w:pPr>
      <w:rPr>
        <w:rFonts w:ascii="Wingdings" w:hAnsi="Wingdings" w:hint="default"/>
      </w:rPr>
    </w:lvl>
  </w:abstractNum>
  <w:abstractNum w:abstractNumId="4">
    <w:nsid w:val="17F95C27"/>
    <w:multiLevelType w:val="hybridMultilevel"/>
    <w:tmpl w:val="91DC2BF2"/>
    <w:lvl w:ilvl="0" w:tplc="080A000F">
      <w:start w:val="1"/>
      <w:numFmt w:val="decimal"/>
      <w:lvlText w:val="%1."/>
      <w:lvlJc w:val="left"/>
      <w:pPr>
        <w:ind w:left="1564" w:hanging="360"/>
      </w:pPr>
    </w:lvl>
    <w:lvl w:ilvl="1" w:tplc="080A0019" w:tentative="1">
      <w:start w:val="1"/>
      <w:numFmt w:val="lowerLetter"/>
      <w:lvlText w:val="%2."/>
      <w:lvlJc w:val="left"/>
      <w:pPr>
        <w:ind w:left="2284" w:hanging="360"/>
      </w:pPr>
    </w:lvl>
    <w:lvl w:ilvl="2" w:tplc="080A001B" w:tentative="1">
      <w:start w:val="1"/>
      <w:numFmt w:val="lowerRoman"/>
      <w:lvlText w:val="%3."/>
      <w:lvlJc w:val="right"/>
      <w:pPr>
        <w:ind w:left="3004" w:hanging="180"/>
      </w:pPr>
    </w:lvl>
    <w:lvl w:ilvl="3" w:tplc="080A000F" w:tentative="1">
      <w:start w:val="1"/>
      <w:numFmt w:val="decimal"/>
      <w:lvlText w:val="%4."/>
      <w:lvlJc w:val="left"/>
      <w:pPr>
        <w:ind w:left="3724" w:hanging="360"/>
      </w:pPr>
    </w:lvl>
    <w:lvl w:ilvl="4" w:tplc="080A0019" w:tentative="1">
      <w:start w:val="1"/>
      <w:numFmt w:val="lowerLetter"/>
      <w:lvlText w:val="%5."/>
      <w:lvlJc w:val="left"/>
      <w:pPr>
        <w:ind w:left="4444" w:hanging="360"/>
      </w:pPr>
    </w:lvl>
    <w:lvl w:ilvl="5" w:tplc="080A001B" w:tentative="1">
      <w:start w:val="1"/>
      <w:numFmt w:val="lowerRoman"/>
      <w:lvlText w:val="%6."/>
      <w:lvlJc w:val="right"/>
      <w:pPr>
        <w:ind w:left="5164" w:hanging="180"/>
      </w:pPr>
    </w:lvl>
    <w:lvl w:ilvl="6" w:tplc="080A000F" w:tentative="1">
      <w:start w:val="1"/>
      <w:numFmt w:val="decimal"/>
      <w:lvlText w:val="%7."/>
      <w:lvlJc w:val="left"/>
      <w:pPr>
        <w:ind w:left="5884" w:hanging="360"/>
      </w:pPr>
    </w:lvl>
    <w:lvl w:ilvl="7" w:tplc="080A0019" w:tentative="1">
      <w:start w:val="1"/>
      <w:numFmt w:val="lowerLetter"/>
      <w:lvlText w:val="%8."/>
      <w:lvlJc w:val="left"/>
      <w:pPr>
        <w:ind w:left="6604" w:hanging="360"/>
      </w:pPr>
    </w:lvl>
    <w:lvl w:ilvl="8" w:tplc="080A001B" w:tentative="1">
      <w:start w:val="1"/>
      <w:numFmt w:val="lowerRoman"/>
      <w:lvlText w:val="%9."/>
      <w:lvlJc w:val="right"/>
      <w:pPr>
        <w:ind w:left="7324" w:hanging="180"/>
      </w:pPr>
    </w:lvl>
  </w:abstractNum>
  <w:abstractNum w:abstractNumId="5">
    <w:nsid w:val="1B1C2B1A"/>
    <w:multiLevelType w:val="hybridMultilevel"/>
    <w:tmpl w:val="8B3AA62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nsid w:val="1F8F6365"/>
    <w:multiLevelType w:val="hybridMultilevel"/>
    <w:tmpl w:val="9BF2017A"/>
    <w:lvl w:ilvl="0" w:tplc="F0BE6D96">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1F3142C"/>
    <w:multiLevelType w:val="hybridMultilevel"/>
    <w:tmpl w:val="3418C6BC"/>
    <w:lvl w:ilvl="0" w:tplc="080A0017">
      <w:start w:val="1"/>
      <w:numFmt w:val="lowerLetter"/>
      <w:lvlText w:val="%1)"/>
      <w:lvlJc w:val="left"/>
      <w:pPr>
        <w:ind w:left="644" w:hanging="360"/>
      </w:pPr>
    </w:lvl>
    <w:lvl w:ilvl="1" w:tplc="080A0019">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8">
    <w:nsid w:val="34323085"/>
    <w:multiLevelType w:val="hybridMultilevel"/>
    <w:tmpl w:val="DF14A12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7B54144"/>
    <w:multiLevelType w:val="hybridMultilevel"/>
    <w:tmpl w:val="381AC044"/>
    <w:lvl w:ilvl="0" w:tplc="080A0017">
      <w:start w:val="1"/>
      <w:numFmt w:val="lowerLetter"/>
      <w:lvlText w:val="%1)"/>
      <w:lvlJc w:val="left"/>
      <w:pPr>
        <w:ind w:left="6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5194E2C"/>
    <w:multiLevelType w:val="hybridMultilevel"/>
    <w:tmpl w:val="29388C68"/>
    <w:lvl w:ilvl="0" w:tplc="2D5C861A">
      <w:start w:val="1"/>
      <w:numFmt w:val="lowerLetter"/>
      <w:lvlText w:val="%1)"/>
      <w:lvlJc w:val="left"/>
      <w:pPr>
        <w:ind w:left="360" w:hanging="360"/>
      </w:pPr>
      <w:rPr>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nsid w:val="725909F7"/>
    <w:multiLevelType w:val="hybridMultilevel"/>
    <w:tmpl w:val="A0FC8BE6"/>
    <w:lvl w:ilvl="0" w:tplc="5E2C30F4">
      <w:start w:val="1"/>
      <w:numFmt w:val="decimal"/>
      <w:lvlText w:val="%1."/>
      <w:lvlJc w:val="left"/>
      <w:pPr>
        <w:ind w:left="928" w:hanging="360"/>
      </w:pPr>
      <w:rPr>
        <w:b w:val="0"/>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1"/>
  </w:num>
  <w:num w:numId="5">
    <w:abstractNumId w:val="2"/>
  </w:num>
  <w:num w:numId="6">
    <w:abstractNumId w:val="0"/>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171EF"/>
    <w:rsid w:val="00072861"/>
    <w:rsid w:val="000848AC"/>
    <w:rsid w:val="000C68A5"/>
    <w:rsid w:val="000D799D"/>
    <w:rsid w:val="000F30DA"/>
    <w:rsid w:val="000F5B74"/>
    <w:rsid w:val="00101C8A"/>
    <w:rsid w:val="00127828"/>
    <w:rsid w:val="001415A8"/>
    <w:rsid w:val="00156A3E"/>
    <w:rsid w:val="00161740"/>
    <w:rsid w:val="0016179D"/>
    <w:rsid w:val="00162C8E"/>
    <w:rsid w:val="00180A38"/>
    <w:rsid w:val="00184325"/>
    <w:rsid w:val="001B5D72"/>
    <w:rsid w:val="00256B1D"/>
    <w:rsid w:val="00281992"/>
    <w:rsid w:val="0029542D"/>
    <w:rsid w:val="00296997"/>
    <w:rsid w:val="002E2142"/>
    <w:rsid w:val="0030476A"/>
    <w:rsid w:val="00314E55"/>
    <w:rsid w:val="00330DC8"/>
    <w:rsid w:val="003331F3"/>
    <w:rsid w:val="00342CF2"/>
    <w:rsid w:val="00363222"/>
    <w:rsid w:val="00370465"/>
    <w:rsid w:val="00380136"/>
    <w:rsid w:val="003D1E2A"/>
    <w:rsid w:val="003D416E"/>
    <w:rsid w:val="003E1335"/>
    <w:rsid w:val="00404FF4"/>
    <w:rsid w:val="0041409F"/>
    <w:rsid w:val="00470059"/>
    <w:rsid w:val="0047406D"/>
    <w:rsid w:val="00477F45"/>
    <w:rsid w:val="004930A2"/>
    <w:rsid w:val="004A4C4E"/>
    <w:rsid w:val="004D146C"/>
    <w:rsid w:val="004E232D"/>
    <w:rsid w:val="00514BA9"/>
    <w:rsid w:val="0055784E"/>
    <w:rsid w:val="00560144"/>
    <w:rsid w:val="00566DFB"/>
    <w:rsid w:val="005A08B3"/>
    <w:rsid w:val="005C1A7C"/>
    <w:rsid w:val="005C4DCB"/>
    <w:rsid w:val="005C5262"/>
    <w:rsid w:val="005E706E"/>
    <w:rsid w:val="00626EE3"/>
    <w:rsid w:val="00631824"/>
    <w:rsid w:val="006322C1"/>
    <w:rsid w:val="00662894"/>
    <w:rsid w:val="00686DCE"/>
    <w:rsid w:val="00691124"/>
    <w:rsid w:val="006B78B6"/>
    <w:rsid w:val="006C0425"/>
    <w:rsid w:val="006C3B4E"/>
    <w:rsid w:val="006F206F"/>
    <w:rsid w:val="006F7470"/>
    <w:rsid w:val="00703DF0"/>
    <w:rsid w:val="007122F3"/>
    <w:rsid w:val="0073750B"/>
    <w:rsid w:val="007421E3"/>
    <w:rsid w:val="00775B17"/>
    <w:rsid w:val="0078195E"/>
    <w:rsid w:val="00787215"/>
    <w:rsid w:val="007B74AD"/>
    <w:rsid w:val="007C1CA1"/>
    <w:rsid w:val="007D77D1"/>
    <w:rsid w:val="007E5888"/>
    <w:rsid w:val="007E6A68"/>
    <w:rsid w:val="008025BF"/>
    <w:rsid w:val="00830EF0"/>
    <w:rsid w:val="00831EE7"/>
    <w:rsid w:val="00834146"/>
    <w:rsid w:val="00887560"/>
    <w:rsid w:val="0089062C"/>
    <w:rsid w:val="008A499F"/>
    <w:rsid w:val="008B4CD1"/>
    <w:rsid w:val="008C7434"/>
    <w:rsid w:val="00902907"/>
    <w:rsid w:val="0090412A"/>
    <w:rsid w:val="009066A7"/>
    <w:rsid w:val="009068C0"/>
    <w:rsid w:val="00907F1C"/>
    <w:rsid w:val="0091318D"/>
    <w:rsid w:val="00932C27"/>
    <w:rsid w:val="00937C98"/>
    <w:rsid w:val="00942415"/>
    <w:rsid w:val="009C12D6"/>
    <w:rsid w:val="009E1908"/>
    <w:rsid w:val="009E1CA8"/>
    <w:rsid w:val="009E2215"/>
    <w:rsid w:val="009F2BA1"/>
    <w:rsid w:val="00A02A12"/>
    <w:rsid w:val="00A06FCD"/>
    <w:rsid w:val="00A07674"/>
    <w:rsid w:val="00A301D7"/>
    <w:rsid w:val="00A33AF1"/>
    <w:rsid w:val="00A73116"/>
    <w:rsid w:val="00A73D65"/>
    <w:rsid w:val="00AA3B2A"/>
    <w:rsid w:val="00AA6FC4"/>
    <w:rsid w:val="00AE28DD"/>
    <w:rsid w:val="00B06FDA"/>
    <w:rsid w:val="00B07DD6"/>
    <w:rsid w:val="00B1220D"/>
    <w:rsid w:val="00B21098"/>
    <w:rsid w:val="00B62584"/>
    <w:rsid w:val="00B66C23"/>
    <w:rsid w:val="00B72D65"/>
    <w:rsid w:val="00B82CC8"/>
    <w:rsid w:val="00B87C85"/>
    <w:rsid w:val="00BA5776"/>
    <w:rsid w:val="00BB21A6"/>
    <w:rsid w:val="00BB2DFF"/>
    <w:rsid w:val="00BC43BD"/>
    <w:rsid w:val="00BF5904"/>
    <w:rsid w:val="00C02E98"/>
    <w:rsid w:val="00C1753B"/>
    <w:rsid w:val="00C17EB9"/>
    <w:rsid w:val="00C23B9E"/>
    <w:rsid w:val="00C279A3"/>
    <w:rsid w:val="00C30849"/>
    <w:rsid w:val="00C308A6"/>
    <w:rsid w:val="00C465FE"/>
    <w:rsid w:val="00C67047"/>
    <w:rsid w:val="00C715F1"/>
    <w:rsid w:val="00C90CED"/>
    <w:rsid w:val="00C94881"/>
    <w:rsid w:val="00CB7D4F"/>
    <w:rsid w:val="00CC54ED"/>
    <w:rsid w:val="00CE3E99"/>
    <w:rsid w:val="00D1354D"/>
    <w:rsid w:val="00D217CE"/>
    <w:rsid w:val="00D37729"/>
    <w:rsid w:val="00D8298C"/>
    <w:rsid w:val="00D84E05"/>
    <w:rsid w:val="00D86BA3"/>
    <w:rsid w:val="00DA1B19"/>
    <w:rsid w:val="00DB53A4"/>
    <w:rsid w:val="00E155A4"/>
    <w:rsid w:val="00E3260F"/>
    <w:rsid w:val="00E66699"/>
    <w:rsid w:val="00E85393"/>
    <w:rsid w:val="00E90EC9"/>
    <w:rsid w:val="00E93867"/>
    <w:rsid w:val="00EB1982"/>
    <w:rsid w:val="00EB407F"/>
    <w:rsid w:val="00EC38C5"/>
    <w:rsid w:val="00EC7275"/>
    <w:rsid w:val="00ED42AB"/>
    <w:rsid w:val="00EE053F"/>
    <w:rsid w:val="00F24915"/>
    <w:rsid w:val="00F300B7"/>
    <w:rsid w:val="00F401F9"/>
    <w:rsid w:val="00F62AB7"/>
    <w:rsid w:val="00F7145D"/>
    <w:rsid w:val="00F73C77"/>
    <w:rsid w:val="00F745B2"/>
    <w:rsid w:val="00F8031D"/>
    <w:rsid w:val="00F945F2"/>
    <w:rsid w:val="00FA1218"/>
    <w:rsid w:val="00FC0C4C"/>
    <w:rsid w:val="00FD754F"/>
    <w:rsid w:val="00FD75E1"/>
    <w:rsid w:val="00FF06FA"/>
    <w:rsid w:val="00FF178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1E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C308A6"/>
    <w:pPr>
      <w:keepNext/>
      <w:keepLines/>
      <w:spacing w:before="480" w:after="120" w:line="276" w:lineRule="auto"/>
      <w:outlineLvl w:val="0"/>
    </w:pPr>
    <w:rPr>
      <w:rFonts w:ascii="Montserrat" w:eastAsia="Montserrat" w:hAnsi="Montserrat" w:cs="Montserrat"/>
      <w:b/>
      <w:sz w:val="48"/>
      <w:szCs w:val="4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styleId="Tablaconcuadrcula">
    <w:name w:val="Table Grid"/>
    <w:basedOn w:val="Tablanormal"/>
    <w:uiPriority w:val="59"/>
    <w:rsid w:val="000F5B74"/>
    <w:rPr>
      <w:rFonts w:ascii="Montserrat" w:eastAsia="Montserrat" w:hAnsi="Montserrat" w:cs="Montserrat"/>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Listas,List Paragraph11,Bullet List,FooterText,numbered,Paragraphe de liste1,Bulletr List Paragraph,列出段落,列出段落1,Scitum normal,Colorful List - Accent 11,Lista vistosa - Énfasis 11,List Paragraph,TítuloB,Figuras,Dot pt"/>
    <w:basedOn w:val="Normal"/>
    <w:link w:val="PrrafodelistaCar"/>
    <w:qFormat/>
    <w:rsid w:val="00101C8A"/>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 Paragraph1 Car,Listas Car,List Paragraph11 Car,Bullet List Car,FooterText Car,numbered Car,Paragraphe de liste1 Car,Bulletr List Paragraph Car,列出段落 Car,列出段落1 Car,Scitum normal Car,Colorful List - Accent 11 Car"/>
    <w:link w:val="Prrafodelista"/>
    <w:qFormat/>
    <w:rsid w:val="00101C8A"/>
    <w:rPr>
      <w:sz w:val="22"/>
      <w:szCs w:val="22"/>
    </w:rPr>
  </w:style>
  <w:style w:type="paragraph" w:customStyle="1" w:styleId="listastxtgral">
    <w:name w:val="listastxtgral"/>
    <w:basedOn w:val="Normal"/>
    <w:rsid w:val="00127828"/>
    <w:pPr>
      <w:spacing w:before="100" w:beforeAutospacing="1" w:after="100" w:afterAutospacing="1"/>
    </w:pPr>
    <w:rPr>
      <w:rFonts w:ascii="Arial" w:eastAsia="Times New Roman" w:hAnsi="Arial" w:cs="Arial"/>
      <w:color w:val="666666"/>
      <w:sz w:val="15"/>
      <w:szCs w:val="15"/>
      <w:lang w:val="es-MX" w:eastAsia="es-MX"/>
    </w:rPr>
  </w:style>
  <w:style w:type="paragraph" w:customStyle="1" w:styleId="Default">
    <w:name w:val="Default"/>
    <w:rsid w:val="003331F3"/>
    <w:pPr>
      <w:autoSpaceDE w:val="0"/>
      <w:autoSpaceDN w:val="0"/>
      <w:adjustRightInd w:val="0"/>
    </w:pPr>
    <w:rPr>
      <w:rFonts w:ascii="Arial" w:eastAsia="Calibri" w:hAnsi="Arial" w:cs="Arial"/>
      <w:color w:val="000000"/>
    </w:rPr>
  </w:style>
  <w:style w:type="character" w:styleId="Hipervnculo">
    <w:name w:val="Hyperlink"/>
    <w:basedOn w:val="Fuentedeprrafopredeter"/>
    <w:uiPriority w:val="99"/>
    <w:unhideWhenUsed/>
    <w:rsid w:val="0091318D"/>
    <w:rPr>
      <w:color w:val="0563C1" w:themeColor="hyperlink"/>
      <w:u w:val="single"/>
    </w:rPr>
  </w:style>
  <w:style w:type="character" w:customStyle="1" w:styleId="Ttulo1Car">
    <w:name w:val="Título 1 Car"/>
    <w:basedOn w:val="Fuentedeprrafopredeter"/>
    <w:link w:val="Ttulo1"/>
    <w:uiPriority w:val="9"/>
    <w:rsid w:val="00C308A6"/>
    <w:rPr>
      <w:rFonts w:ascii="Montserrat" w:eastAsia="Montserrat" w:hAnsi="Montserrat" w:cs="Montserrat"/>
      <w:b/>
      <w:sz w:val="48"/>
      <w:szCs w:val="48"/>
      <w:lang w:eastAsia="es-MX"/>
    </w:rPr>
  </w:style>
  <w:style w:type="character" w:styleId="Refdecomentario">
    <w:name w:val="annotation reference"/>
    <w:basedOn w:val="Fuentedeprrafopredeter"/>
    <w:uiPriority w:val="99"/>
    <w:semiHidden/>
    <w:unhideWhenUsed/>
    <w:rsid w:val="001B5D72"/>
    <w:rPr>
      <w:sz w:val="16"/>
      <w:szCs w:val="16"/>
    </w:rPr>
  </w:style>
  <w:style w:type="paragraph" w:styleId="Textocomentario">
    <w:name w:val="annotation text"/>
    <w:basedOn w:val="Normal"/>
    <w:link w:val="TextocomentarioCar"/>
    <w:uiPriority w:val="99"/>
    <w:semiHidden/>
    <w:unhideWhenUsed/>
    <w:rsid w:val="001B5D72"/>
    <w:rPr>
      <w:sz w:val="20"/>
      <w:szCs w:val="20"/>
    </w:rPr>
  </w:style>
  <w:style w:type="character" w:customStyle="1" w:styleId="TextocomentarioCar">
    <w:name w:val="Texto comentario Car"/>
    <w:basedOn w:val="Fuentedeprrafopredeter"/>
    <w:link w:val="Textocomentario"/>
    <w:uiPriority w:val="99"/>
    <w:semiHidden/>
    <w:rsid w:val="001B5D72"/>
    <w:rPr>
      <w:rFonts w:eastAsiaTheme="minorEastAsia"/>
      <w:sz w:val="20"/>
      <w:szCs w:val="20"/>
      <w:lang w:val="es-ES"/>
    </w:rPr>
  </w:style>
  <w:style w:type="paragraph" w:styleId="Asuntodelcomentario">
    <w:name w:val="annotation subject"/>
    <w:basedOn w:val="Textocomentario"/>
    <w:next w:val="Textocomentario"/>
    <w:link w:val="AsuntodelcomentarioCar"/>
    <w:uiPriority w:val="99"/>
    <w:semiHidden/>
    <w:unhideWhenUsed/>
    <w:rsid w:val="001B5D72"/>
    <w:rPr>
      <w:b/>
      <w:bCs/>
    </w:rPr>
  </w:style>
  <w:style w:type="character" w:customStyle="1" w:styleId="AsuntodelcomentarioCar">
    <w:name w:val="Asunto del comentario Car"/>
    <w:basedOn w:val="TextocomentarioCar"/>
    <w:link w:val="Asuntodelcomentario"/>
    <w:uiPriority w:val="99"/>
    <w:semiHidden/>
    <w:rsid w:val="001B5D72"/>
    <w:rPr>
      <w:rFonts w:eastAsiaTheme="minorEastAsia"/>
      <w:b/>
      <w:bCs/>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C308A6"/>
    <w:pPr>
      <w:keepNext/>
      <w:keepLines/>
      <w:spacing w:before="480" w:after="120" w:line="276" w:lineRule="auto"/>
      <w:outlineLvl w:val="0"/>
    </w:pPr>
    <w:rPr>
      <w:rFonts w:ascii="Montserrat" w:eastAsia="Montserrat" w:hAnsi="Montserrat" w:cs="Montserrat"/>
      <w:b/>
      <w:sz w:val="48"/>
      <w:szCs w:val="4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styleId="Tablaconcuadrcula">
    <w:name w:val="Table Grid"/>
    <w:basedOn w:val="Tablanormal"/>
    <w:uiPriority w:val="59"/>
    <w:rsid w:val="000F5B74"/>
    <w:rPr>
      <w:rFonts w:ascii="Montserrat" w:eastAsia="Montserrat" w:hAnsi="Montserrat" w:cs="Montserrat"/>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Listas,List Paragraph11,Bullet List,FooterText,numbered,Paragraphe de liste1,Bulletr List Paragraph,列出段落,列出段落1,Scitum normal,Colorful List - Accent 11,Lista vistosa - Énfasis 11,List Paragraph,TítuloB,Figuras,Dot pt"/>
    <w:basedOn w:val="Normal"/>
    <w:link w:val="PrrafodelistaCar"/>
    <w:qFormat/>
    <w:rsid w:val="00101C8A"/>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 Paragraph1 Car,Listas Car,List Paragraph11 Car,Bullet List Car,FooterText Car,numbered Car,Paragraphe de liste1 Car,Bulletr List Paragraph Car,列出段落 Car,列出段落1 Car,Scitum normal Car,Colorful List - Accent 11 Car"/>
    <w:link w:val="Prrafodelista"/>
    <w:qFormat/>
    <w:rsid w:val="00101C8A"/>
    <w:rPr>
      <w:sz w:val="22"/>
      <w:szCs w:val="22"/>
    </w:rPr>
  </w:style>
  <w:style w:type="paragraph" w:customStyle="1" w:styleId="listastxtgral">
    <w:name w:val="listastxtgral"/>
    <w:basedOn w:val="Normal"/>
    <w:rsid w:val="00127828"/>
    <w:pPr>
      <w:spacing w:before="100" w:beforeAutospacing="1" w:after="100" w:afterAutospacing="1"/>
    </w:pPr>
    <w:rPr>
      <w:rFonts w:ascii="Arial" w:eastAsia="Times New Roman" w:hAnsi="Arial" w:cs="Arial"/>
      <w:color w:val="666666"/>
      <w:sz w:val="15"/>
      <w:szCs w:val="15"/>
      <w:lang w:val="es-MX" w:eastAsia="es-MX"/>
    </w:rPr>
  </w:style>
  <w:style w:type="paragraph" w:customStyle="1" w:styleId="Default">
    <w:name w:val="Default"/>
    <w:rsid w:val="003331F3"/>
    <w:pPr>
      <w:autoSpaceDE w:val="0"/>
      <w:autoSpaceDN w:val="0"/>
      <w:adjustRightInd w:val="0"/>
    </w:pPr>
    <w:rPr>
      <w:rFonts w:ascii="Arial" w:eastAsia="Calibri" w:hAnsi="Arial" w:cs="Arial"/>
      <w:color w:val="000000"/>
    </w:rPr>
  </w:style>
  <w:style w:type="character" w:styleId="Hipervnculo">
    <w:name w:val="Hyperlink"/>
    <w:basedOn w:val="Fuentedeprrafopredeter"/>
    <w:uiPriority w:val="99"/>
    <w:unhideWhenUsed/>
    <w:rsid w:val="0091318D"/>
    <w:rPr>
      <w:color w:val="0563C1" w:themeColor="hyperlink"/>
      <w:u w:val="single"/>
    </w:rPr>
  </w:style>
  <w:style w:type="character" w:customStyle="1" w:styleId="Ttulo1Car">
    <w:name w:val="Título 1 Car"/>
    <w:basedOn w:val="Fuentedeprrafopredeter"/>
    <w:link w:val="Ttulo1"/>
    <w:uiPriority w:val="9"/>
    <w:rsid w:val="00C308A6"/>
    <w:rPr>
      <w:rFonts w:ascii="Montserrat" w:eastAsia="Montserrat" w:hAnsi="Montserrat" w:cs="Montserrat"/>
      <w:b/>
      <w:sz w:val="48"/>
      <w:szCs w:val="48"/>
      <w:lang w:eastAsia="es-MX"/>
    </w:rPr>
  </w:style>
  <w:style w:type="character" w:styleId="Refdecomentario">
    <w:name w:val="annotation reference"/>
    <w:basedOn w:val="Fuentedeprrafopredeter"/>
    <w:uiPriority w:val="99"/>
    <w:semiHidden/>
    <w:unhideWhenUsed/>
    <w:rsid w:val="001B5D72"/>
    <w:rPr>
      <w:sz w:val="16"/>
      <w:szCs w:val="16"/>
    </w:rPr>
  </w:style>
  <w:style w:type="paragraph" w:styleId="Textocomentario">
    <w:name w:val="annotation text"/>
    <w:basedOn w:val="Normal"/>
    <w:link w:val="TextocomentarioCar"/>
    <w:uiPriority w:val="99"/>
    <w:semiHidden/>
    <w:unhideWhenUsed/>
    <w:rsid w:val="001B5D72"/>
    <w:rPr>
      <w:sz w:val="20"/>
      <w:szCs w:val="20"/>
    </w:rPr>
  </w:style>
  <w:style w:type="character" w:customStyle="1" w:styleId="TextocomentarioCar">
    <w:name w:val="Texto comentario Car"/>
    <w:basedOn w:val="Fuentedeprrafopredeter"/>
    <w:link w:val="Textocomentario"/>
    <w:uiPriority w:val="99"/>
    <w:semiHidden/>
    <w:rsid w:val="001B5D72"/>
    <w:rPr>
      <w:rFonts w:eastAsiaTheme="minorEastAsia"/>
      <w:sz w:val="20"/>
      <w:szCs w:val="20"/>
      <w:lang w:val="es-ES"/>
    </w:rPr>
  </w:style>
  <w:style w:type="paragraph" w:styleId="Asuntodelcomentario">
    <w:name w:val="annotation subject"/>
    <w:basedOn w:val="Textocomentario"/>
    <w:next w:val="Textocomentario"/>
    <w:link w:val="AsuntodelcomentarioCar"/>
    <w:uiPriority w:val="99"/>
    <w:semiHidden/>
    <w:unhideWhenUsed/>
    <w:rsid w:val="001B5D72"/>
    <w:rPr>
      <w:b/>
      <w:bCs/>
    </w:rPr>
  </w:style>
  <w:style w:type="character" w:customStyle="1" w:styleId="AsuntodelcomentarioCar">
    <w:name w:val="Asunto del comentario Car"/>
    <w:basedOn w:val="TextocomentarioCar"/>
    <w:link w:val="Asuntodelcomentario"/>
    <w:uiPriority w:val="99"/>
    <w:semiHidden/>
    <w:rsid w:val="001B5D72"/>
    <w:rPr>
      <w:rFonts w:eastAsiaTheme="minorEastAsia"/>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7876F16-2599-4144-8913-904EA06B0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3585</Words>
  <Characters>19722</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Claudia Guadalupe Lopez Velarde Luna</cp:lastModifiedBy>
  <cp:revision>7</cp:revision>
  <cp:lastPrinted>2024-11-11T19:05:00Z</cp:lastPrinted>
  <dcterms:created xsi:type="dcterms:W3CDTF">2024-11-11T16:39:00Z</dcterms:created>
  <dcterms:modified xsi:type="dcterms:W3CDTF">2024-12-26T16:37:00Z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